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6FDD" w:rsidRPr="00712174" w14:paraId="6A3BCED9" w14:textId="77777777" w:rsidTr="0046359A">
        <w:tc>
          <w:tcPr>
            <w:tcW w:w="4675" w:type="dxa"/>
          </w:tcPr>
          <w:p w14:paraId="35F5DA84" w14:textId="09688A3E" w:rsidR="004B05ED" w:rsidRPr="00712174" w:rsidRDefault="004B05ED" w:rsidP="008C2BFC">
            <w:pPr>
              <w:pStyle w:val="BodyText"/>
              <w:contextualSpacing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Врз основа на чл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ен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353 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ст. 1 т. 1, член 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358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член 460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 Законот за трговски друштва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член 34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чл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ен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4 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т. 14 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 Статутот на Цементарница УСЈЕ АД Скопје, Одборот на Директори без одржување на седница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 ден 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="00233201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.09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.202</w:t>
            </w:r>
            <w:r w:rsidR="008C2BFC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година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донесе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14:paraId="75F7ED40" w14:textId="77777777" w:rsidR="005E6C46" w:rsidRPr="00712174" w:rsidRDefault="005E6C46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  <w:p w14:paraId="6CD28FAA" w14:textId="1AEC0EF0" w:rsidR="005C777B" w:rsidRPr="00712174" w:rsidRDefault="00DF505A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>ПРЕДЛОГ</w:t>
            </w:r>
            <w:r w:rsidR="002D2D86"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 xml:space="preserve"> ОДЛУКА</w:t>
            </w:r>
          </w:p>
          <w:p w14:paraId="64DE6491" w14:textId="305D4262" w:rsidR="002D2D86" w:rsidRPr="00712174" w:rsidRDefault="002D2D86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bCs/>
                <w:iCs/>
                <w:szCs w:val="22"/>
                <w:lang w:val="mk-MK"/>
              </w:rPr>
              <w:t>За одобрување на зделк</w:t>
            </w:r>
            <w:r w:rsidR="00351020" w:rsidRPr="00712174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712174">
              <w:rPr>
                <w:rFonts w:asciiTheme="minorHAnsi" w:hAnsiTheme="minorHAnsi" w:cstheme="minorHAnsi"/>
                <w:bCs/>
                <w:iCs/>
                <w:szCs w:val="22"/>
                <w:lang w:val="mk-MK"/>
              </w:rPr>
              <w:t xml:space="preserve"> со заинтересиран</w:t>
            </w:r>
            <w:r w:rsidR="00351020" w:rsidRPr="00712174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712174">
              <w:rPr>
                <w:rFonts w:asciiTheme="minorHAnsi" w:hAnsiTheme="minorHAnsi" w:cstheme="minorHAnsi"/>
                <w:bCs/>
                <w:iCs/>
                <w:szCs w:val="22"/>
                <w:lang w:val="mk-MK"/>
              </w:rPr>
              <w:t xml:space="preserve"> стран</w:t>
            </w:r>
            <w:r w:rsidR="00351020" w:rsidRPr="00712174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</w:p>
          <w:p w14:paraId="66060A5F" w14:textId="77777777" w:rsidR="008C2BFC" w:rsidRPr="00712174" w:rsidRDefault="008C2BFC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mk-MK"/>
              </w:rPr>
            </w:pPr>
          </w:p>
          <w:p w14:paraId="42C4F999" w14:textId="77777777" w:rsidR="002D2D86" w:rsidRPr="00712174" w:rsidRDefault="002D2D86" w:rsidP="008C2BF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bCs/>
                <w:iCs/>
                <w:szCs w:val="22"/>
                <w:lang w:val="mk-MK"/>
              </w:rPr>
              <w:t>Член 1</w:t>
            </w:r>
          </w:p>
          <w:p w14:paraId="382F8100" w14:textId="493D4E07" w:rsidR="00447348" w:rsidRPr="00712174" w:rsidRDefault="00DC2AD4" w:rsidP="00447348">
            <w:pPr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Заради постоење на взаемен интерес за деловна соработка во рамките на редовното работење (давање и земање на заеми</w:t>
            </w:r>
            <w:r w:rsidRPr="00712174">
              <w:rPr>
                <w:rFonts w:asciiTheme="minorHAnsi" w:hAnsiTheme="minorHAnsi" w:cstheme="minorHAnsi"/>
                <w:szCs w:val="22"/>
                <w:lang w:val="ru-RU"/>
              </w:rPr>
              <w:t>;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кредити и гаранции</w:t>
            </w:r>
            <w:r w:rsidRPr="00712174">
              <w:rPr>
                <w:rFonts w:asciiTheme="minorHAnsi" w:hAnsiTheme="minorHAnsi" w:cstheme="minorHAnsi"/>
                <w:szCs w:val="22"/>
                <w:lang w:val="ru-RU"/>
              </w:rPr>
              <w:t xml:space="preserve">),  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СЕ ОДОБРУВА Цементарница </w:t>
            </w:r>
            <w:r w:rsidR="00447348" w:rsidRPr="00712174">
              <w:rPr>
                <w:rFonts w:asciiTheme="minorHAnsi" w:hAnsiTheme="minorHAnsi" w:cstheme="minorHAnsi"/>
                <w:szCs w:val="22"/>
                <w:lang w:val="mk-MK"/>
              </w:rPr>
              <w:t>УСЈЕ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АД Скопје да склучува зделки со заинтересиран</w:t>
            </w:r>
            <w:r w:rsidR="002228F3">
              <w:rPr>
                <w:rFonts w:asciiTheme="minorHAnsi" w:hAnsiTheme="minorHAnsi" w:cstheme="minorHAnsi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стран</w:t>
            </w:r>
            <w:r w:rsidR="002228F3">
              <w:rPr>
                <w:rFonts w:asciiTheme="minorHAnsi" w:hAnsiTheme="minorHAnsi" w:cstheme="minorHAnsi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по тековни пазарни услови за слични типови на трансакции и тоа:</w:t>
            </w:r>
          </w:p>
          <w:p w14:paraId="1952161F" w14:textId="64512C38" w:rsidR="00EC1388" w:rsidRPr="00712174" w:rsidRDefault="00DC2AD4" w:rsidP="002707C6">
            <w:pPr>
              <w:pStyle w:val="ListParagraph"/>
              <w:numPr>
                <w:ilvl w:val="0"/>
                <w:numId w:val="6"/>
              </w:numPr>
              <w:ind w:left="21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proofErr w:type="spellStart"/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>Зделка</w:t>
            </w:r>
            <w:proofErr w:type="spellEnd"/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со 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МИЛЛКО-ПЦМ Дооел Скопје</w:t>
            </w:r>
            <w:r w:rsidR="004E6E64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820A19"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>земање</w:t>
            </w:r>
            <w:proofErr w:type="spellEnd"/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 xml:space="preserve"> на заем </w:t>
            </w:r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 xml:space="preserve">чија поединечна или кумулативна вредност посебно за период од денот на донесувањето на оваа одлука до одржување на следното годишно собрание нема да надмине износ од </w:t>
            </w:r>
            <w:r w:rsidR="004A569A"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>8.000.000,00</w:t>
            </w:r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 xml:space="preserve"> евра.</w:t>
            </w:r>
            <w:r w:rsidR="00351020"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14:paraId="4A8EF3E2" w14:textId="77777777" w:rsidR="00EC1388" w:rsidRPr="00712174" w:rsidRDefault="00EC1388" w:rsidP="00EC1388">
            <w:pPr>
              <w:pStyle w:val="ListParagraph"/>
              <w:ind w:left="2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  <w:p w14:paraId="4BC62BE9" w14:textId="77777777" w:rsidR="00EC1388" w:rsidRPr="00712174" w:rsidRDefault="00EC1388" w:rsidP="00EC1388">
            <w:pPr>
              <w:pStyle w:val="ListParagraph"/>
              <w:ind w:left="2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  <w:p w14:paraId="0AD8F72F" w14:textId="513B4EA3" w:rsidR="00C66116" w:rsidRPr="00712174" w:rsidRDefault="00C66116" w:rsidP="00351020">
            <w:pPr>
              <w:pStyle w:val="ListParagraph"/>
              <w:ind w:left="21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</w:pPr>
          </w:p>
          <w:p w14:paraId="408F8577" w14:textId="334126B5" w:rsidR="002D2D86" w:rsidRPr="00712174" w:rsidRDefault="00313D19" w:rsidP="008C2BFC">
            <w:pPr>
              <w:tabs>
                <w:tab w:val="center" w:pos="4590"/>
                <w:tab w:val="left" w:pos="5420"/>
              </w:tabs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 xml:space="preserve">Член </w:t>
            </w:r>
            <w:r w:rsidR="00712174" w:rsidRPr="00712174">
              <w:rPr>
                <w:rFonts w:asciiTheme="minorHAnsi" w:hAnsiTheme="minorHAnsi" w:cstheme="minorHAnsi"/>
                <w:b/>
                <w:szCs w:val="22"/>
                <w:lang w:val="ru-RU"/>
              </w:rPr>
              <w:t>2</w:t>
            </w:r>
          </w:p>
          <w:p w14:paraId="5D000A53" w14:textId="01606E44" w:rsidR="002D2D86" w:rsidRPr="00712174" w:rsidRDefault="002D2D86" w:rsidP="008C2BFC">
            <w:pPr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СЕ ОВЛАСТУВААТ членовите на Одборот на Директори, </w:t>
            </w:r>
            <w:r w:rsidR="009121FE" w:rsidRPr="00712174">
              <w:rPr>
                <w:rFonts w:asciiTheme="minorHAnsi" w:hAnsiTheme="minorHAnsi" w:cstheme="minorHAnsi"/>
                <w:szCs w:val="22"/>
                <w:lang w:val="mk-MK"/>
              </w:rPr>
              <w:t>да ги пре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земат сите потребни дејствија за потпишување на договор со заинтересира</w:t>
            </w:r>
            <w:r w:rsidR="00351020" w:rsidRPr="00712174">
              <w:rPr>
                <w:rFonts w:asciiTheme="minorHAnsi" w:hAnsiTheme="minorHAnsi" w:cstheme="minorHAnsi"/>
                <w:szCs w:val="22"/>
                <w:lang w:val="mk-MK"/>
              </w:rPr>
              <w:t>ната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стран</w:t>
            </w:r>
            <w:r w:rsidR="00351020" w:rsidRPr="00712174">
              <w:rPr>
                <w:rFonts w:asciiTheme="minorHAnsi" w:hAnsiTheme="minorHAnsi" w:cstheme="minorHAnsi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наведен</w:t>
            </w:r>
            <w:r w:rsidR="00351020" w:rsidRPr="00712174">
              <w:rPr>
                <w:rFonts w:asciiTheme="minorHAnsi" w:hAnsiTheme="minorHAnsi" w:cstheme="minorHAnsi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во чл</w:t>
            </w:r>
            <w:r w:rsidR="000361D2" w:rsidRPr="00712174">
              <w:rPr>
                <w:rFonts w:asciiTheme="minorHAnsi" w:hAnsiTheme="minorHAnsi" w:cstheme="minorHAnsi"/>
                <w:szCs w:val="22"/>
                <w:lang w:val="mk-MK"/>
              </w:rPr>
              <w:t>ен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1</w:t>
            </w:r>
            <w:r w:rsidR="000361D2"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од оваа Одлука, а заради спроведување на истата. </w:t>
            </w:r>
          </w:p>
          <w:p w14:paraId="750BBA82" w14:textId="5BC44930" w:rsidR="00447348" w:rsidRPr="00712174" w:rsidRDefault="00EC1388" w:rsidP="008C2BFC">
            <w:pPr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</w:p>
          <w:p w14:paraId="6598F67B" w14:textId="446DDA40" w:rsidR="00C66116" w:rsidRPr="00712174" w:rsidRDefault="002D2D86" w:rsidP="008C2BFC">
            <w:pPr>
              <w:tabs>
                <w:tab w:val="left" w:pos="2191"/>
              </w:tabs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 xml:space="preserve">Член </w:t>
            </w:r>
            <w:r w:rsidR="00712174" w:rsidRPr="00712174">
              <w:rPr>
                <w:rFonts w:asciiTheme="minorHAnsi" w:hAnsiTheme="minorHAnsi" w:cstheme="minorHAnsi"/>
                <w:b/>
                <w:szCs w:val="22"/>
                <w:lang w:val="ru-RU"/>
              </w:rPr>
              <w:t>3</w:t>
            </w:r>
          </w:p>
          <w:p w14:paraId="3834AED7" w14:textId="7575FF4A" w:rsidR="0009720F" w:rsidRPr="00712174" w:rsidRDefault="0009720F" w:rsidP="008C2BFC">
            <w:pPr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Одлуката стапува во сила со денот на донесувањето.</w:t>
            </w:r>
          </w:p>
          <w:p w14:paraId="4ACFC34D" w14:textId="77777777" w:rsidR="00447348" w:rsidRPr="00712174" w:rsidRDefault="00447348" w:rsidP="008C2BFC">
            <w:pPr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</w:p>
          <w:p w14:paraId="582445FF" w14:textId="403BC6B8" w:rsidR="00313D19" w:rsidRPr="00712174" w:rsidRDefault="00313D19" w:rsidP="008C2BFC">
            <w:pPr>
              <w:pStyle w:val="BodyTex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712174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Член </w:t>
            </w:r>
            <w:r w:rsidR="00712174" w:rsidRPr="0071217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4</w:t>
            </w:r>
          </w:p>
          <w:p w14:paraId="029E23F4" w14:textId="556FBA73" w:rsidR="002D2D86" w:rsidRPr="00712174" w:rsidRDefault="002D2D86" w:rsidP="008C2BFC">
            <w:pPr>
              <w:pStyle w:val="BodyText"/>
              <w:contextualSpacing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Прeдлог одлуката за одобрување на</w:t>
            </w:r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 xml:space="preserve"> зделк</w:t>
            </w:r>
            <w:r w:rsid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 xml:space="preserve"> со заинтересиран</w:t>
            </w:r>
            <w:r w:rsid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 xml:space="preserve"> стран</w:t>
            </w:r>
            <w:r w:rsidR="00712174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mk-MK"/>
              </w:rPr>
              <w:t>а</w:t>
            </w:r>
            <w:r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да се достави до Собранието на акционери заради донесување.</w:t>
            </w:r>
          </w:p>
          <w:p w14:paraId="0C77CA90" w14:textId="77777777" w:rsidR="004B05ED" w:rsidRPr="00712174" w:rsidRDefault="004B05ED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</w:p>
          <w:p w14:paraId="07D5F2BA" w14:textId="365FC006" w:rsidR="007B5F11" w:rsidRPr="00712174" w:rsidRDefault="009121FE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Д.Н.</w:t>
            </w:r>
          </w:p>
          <w:p w14:paraId="29CFA0AB" w14:textId="77777777" w:rsidR="009121FE" w:rsidRPr="00712174" w:rsidRDefault="009121FE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-</w:t>
            </w:r>
            <w:r w:rsidR="00F27F3F"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А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рхива</w:t>
            </w:r>
          </w:p>
          <w:p w14:paraId="1D5398C4" w14:textId="77777777" w:rsidR="009121FE" w:rsidRPr="00712174" w:rsidRDefault="009121FE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- Сектор за финансии</w:t>
            </w:r>
          </w:p>
          <w:p w14:paraId="5B6A2F73" w14:textId="77777777" w:rsidR="009121FE" w:rsidRPr="00712174" w:rsidRDefault="00B57A12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-</w:t>
            </w:r>
            <w:r w:rsidR="00F27F3F"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 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П</w:t>
            </w:r>
            <w:r w:rsidR="009121FE" w:rsidRPr="00712174">
              <w:rPr>
                <w:rFonts w:asciiTheme="minorHAnsi" w:hAnsiTheme="minorHAnsi" w:cstheme="minorHAnsi"/>
                <w:szCs w:val="22"/>
                <w:lang w:val="mk-MK"/>
              </w:rPr>
              <w:t>р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а</w:t>
            </w:r>
            <w:r w:rsidR="009121FE"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вна </w:t>
            </w:r>
            <w:r w:rsidRPr="00712174">
              <w:rPr>
                <w:rFonts w:asciiTheme="minorHAnsi" w:hAnsiTheme="minorHAnsi" w:cstheme="minorHAnsi"/>
                <w:szCs w:val="22"/>
                <w:lang w:val="mk-MK"/>
              </w:rPr>
              <w:t>с</w:t>
            </w:r>
            <w:r w:rsidR="009121FE" w:rsidRPr="00712174">
              <w:rPr>
                <w:rFonts w:asciiTheme="minorHAnsi" w:hAnsiTheme="minorHAnsi" w:cstheme="minorHAnsi"/>
                <w:szCs w:val="22"/>
                <w:lang w:val="mk-MK"/>
              </w:rPr>
              <w:t xml:space="preserve">лужба </w:t>
            </w:r>
          </w:p>
          <w:p w14:paraId="2B18461C" w14:textId="6FF66AC0" w:rsidR="00447348" w:rsidRPr="00712174" w:rsidRDefault="00447348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val="mk-MK"/>
              </w:rPr>
            </w:pPr>
          </w:p>
        </w:tc>
        <w:tc>
          <w:tcPr>
            <w:tcW w:w="4675" w:type="dxa"/>
          </w:tcPr>
          <w:p w14:paraId="58EBE27A" w14:textId="63CA7220" w:rsidR="004B05ED" w:rsidRPr="00712174" w:rsidRDefault="004B05ED" w:rsidP="008C2BFC">
            <w:pPr>
              <w:pStyle w:val="BodyTex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Pursuant to Article 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353 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paragraph 1 item 1, Article 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  <w:r w:rsidR="00C90B41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and Article 460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of the Trade Companies Law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Article 34 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and Article 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E6C46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item 14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of the Statute of Cementarnica Usje AD Skopje, the Board of Directors without holding a session 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 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="00233201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.09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.202</w:t>
            </w:r>
            <w:r w:rsidR="008C2BFC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="008062F1" w:rsidRPr="007121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>adopted the following</w:t>
            </w:r>
            <w:r w:rsidR="00891ABE" w:rsidRPr="0071217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B775D2" w14:textId="659F4F39" w:rsidR="008062F1" w:rsidRPr="00712174" w:rsidRDefault="00E36277" w:rsidP="00351020">
            <w:pPr>
              <w:pStyle w:val="BodyText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3C74" w:rsidRPr="0071217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E3C74" w:rsidRPr="0071217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E3C74" w:rsidRPr="0071217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43984A2" w14:textId="7D3D3216" w:rsidR="005E3C74" w:rsidRPr="00712174" w:rsidRDefault="005E3C74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</w:rPr>
              <w:t>DRAF</w:t>
            </w:r>
            <w:r w:rsidR="00B57A12" w:rsidRPr="00712174">
              <w:rPr>
                <w:rFonts w:asciiTheme="minorHAnsi" w:hAnsiTheme="minorHAnsi" w:cstheme="minorHAnsi"/>
                <w:b/>
                <w:szCs w:val="22"/>
              </w:rPr>
              <w:t>T</w:t>
            </w:r>
            <w:r w:rsidRPr="00712174">
              <w:rPr>
                <w:rFonts w:asciiTheme="minorHAnsi" w:hAnsiTheme="minorHAnsi" w:cstheme="minorHAnsi"/>
                <w:b/>
                <w:szCs w:val="22"/>
              </w:rPr>
              <w:t xml:space="preserve"> DECISION</w:t>
            </w:r>
          </w:p>
          <w:p w14:paraId="7DA1F751" w14:textId="04C87CED" w:rsidR="002D2D86" w:rsidRPr="00712174" w:rsidRDefault="002D2D86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for approving interested party transaction</w:t>
            </w:r>
          </w:p>
          <w:p w14:paraId="4E04383E" w14:textId="10C8DABF" w:rsidR="007B4EBD" w:rsidRPr="00712174" w:rsidRDefault="007B4EBD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047C8B03" w14:textId="77777777" w:rsidR="008C2BFC" w:rsidRPr="00712174" w:rsidRDefault="008C2BFC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2C9A53DC" w14:textId="77777777" w:rsidR="002D2D86" w:rsidRPr="00712174" w:rsidRDefault="002D2D86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</w:rPr>
              <w:t>Article 1</w:t>
            </w:r>
          </w:p>
          <w:p w14:paraId="6EF2B8C7" w14:textId="4FE74C1E" w:rsidR="00DC2AD4" w:rsidRPr="00712174" w:rsidRDefault="00DC2AD4" w:rsidP="00447348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 xml:space="preserve">Due to the existence of mutual interests for business cooperation within the frames of the regular operations (borrowing/lending loans/credits and guarantees), it is hereby APPROVED for Cementarnica </w:t>
            </w:r>
            <w:r w:rsidR="00447348" w:rsidRPr="00712174">
              <w:rPr>
                <w:rFonts w:asciiTheme="minorHAnsi" w:hAnsiTheme="minorHAnsi" w:cstheme="minorHAnsi"/>
                <w:szCs w:val="22"/>
              </w:rPr>
              <w:t>USJE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 AD Skopje to conclude interested party transaction under prevailing market conditions for similar type of transactions and that is: </w:t>
            </w:r>
          </w:p>
          <w:p w14:paraId="2AB24605" w14:textId="4F770320" w:rsidR="00EC1388" w:rsidRPr="00712174" w:rsidRDefault="00DC2AD4" w:rsidP="00B83D57">
            <w:pPr>
              <w:pStyle w:val="ListParagraph"/>
              <w:numPr>
                <w:ilvl w:val="0"/>
                <w:numId w:val="6"/>
              </w:numPr>
              <w:ind w:left="21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Transaction with </w:t>
            </w:r>
            <w:r w:rsidR="00351020" w:rsidRPr="00712174">
              <w:rPr>
                <w:rFonts w:asciiTheme="minorHAnsi" w:hAnsiTheme="minorHAnsi" w:cstheme="minorHAnsi"/>
                <w:sz w:val="22"/>
                <w:szCs w:val="22"/>
              </w:rPr>
              <w:t>MILLKO-PCM Dooel Skopje</w:t>
            </w:r>
            <w:r w:rsidR="004E6E64" w:rsidRPr="0071217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0A19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for borrowing 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a loan whose separate or cumulative value shall not exceed the amount of </w:t>
            </w:r>
            <w:r w:rsidR="004A569A"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8.000.000,00</w:t>
            </w:r>
            <w:r w:rsidR="00233721" w:rsidRPr="007121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712174">
              <w:rPr>
                <w:rFonts w:asciiTheme="minorHAnsi" w:hAnsiTheme="minorHAnsi" w:cstheme="minorHAnsi"/>
                <w:sz w:val="22"/>
                <w:szCs w:val="22"/>
              </w:rPr>
              <w:t>Euros for the period starting from the date of adoption of this decision until the holding of the next annual shareholders’ assembly.</w:t>
            </w:r>
            <w:r w:rsidR="00233721" w:rsidRPr="007121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6B411C" w14:textId="77777777" w:rsidR="00EC1388" w:rsidRPr="00712174" w:rsidRDefault="00EC1388" w:rsidP="00EC1388">
            <w:pPr>
              <w:pStyle w:val="ListParagraph"/>
              <w:ind w:left="2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3B95D" w14:textId="178952C4" w:rsidR="00C66116" w:rsidRPr="00712174" w:rsidRDefault="00BA26C6" w:rsidP="008C2BFC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</w:rPr>
              <w:t xml:space="preserve">Article </w:t>
            </w:r>
            <w:r w:rsidR="00712174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  <w:p w14:paraId="1D038317" w14:textId="78B4CB68" w:rsidR="00447348" w:rsidRPr="00712174" w:rsidRDefault="002D2D86" w:rsidP="00351020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 xml:space="preserve">The members of the Board of Directors are hereby </w:t>
            </w:r>
            <w:r w:rsidR="00EC1388" w:rsidRPr="00712174">
              <w:rPr>
                <w:rFonts w:asciiTheme="minorHAnsi" w:hAnsiTheme="minorHAnsi" w:cstheme="minorHAnsi"/>
                <w:szCs w:val="22"/>
              </w:rPr>
              <w:t>AUTHORIZED</w:t>
            </w:r>
            <w:r w:rsidR="00B05894" w:rsidRPr="00712174">
              <w:rPr>
                <w:rFonts w:asciiTheme="minorHAnsi" w:hAnsiTheme="minorHAnsi" w:cstheme="minorHAnsi"/>
                <w:szCs w:val="22"/>
              </w:rPr>
              <w:t xml:space="preserve"> to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 undertake all necessary actions for signing the contract with the interested part</w:t>
            </w:r>
            <w:r w:rsidR="00351020" w:rsidRPr="00712174">
              <w:rPr>
                <w:rFonts w:asciiTheme="minorHAnsi" w:hAnsiTheme="minorHAnsi" w:cstheme="minorHAnsi"/>
                <w:szCs w:val="22"/>
              </w:rPr>
              <w:t>y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 stated in </w:t>
            </w:r>
            <w:r w:rsidR="00351020" w:rsidRPr="00712174">
              <w:rPr>
                <w:rFonts w:asciiTheme="minorHAnsi" w:hAnsiTheme="minorHAnsi" w:cstheme="minorHAnsi"/>
                <w:szCs w:val="22"/>
              </w:rPr>
              <w:t>A</w:t>
            </w:r>
            <w:r w:rsidRPr="00712174">
              <w:rPr>
                <w:rFonts w:asciiTheme="minorHAnsi" w:hAnsiTheme="minorHAnsi" w:cstheme="minorHAnsi"/>
                <w:szCs w:val="22"/>
              </w:rPr>
              <w:t>rt</w:t>
            </w:r>
            <w:r w:rsidR="000361D2" w:rsidRPr="00712174">
              <w:rPr>
                <w:rFonts w:asciiTheme="minorHAnsi" w:hAnsiTheme="minorHAnsi" w:cstheme="minorHAnsi"/>
                <w:szCs w:val="22"/>
              </w:rPr>
              <w:t>icle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 1</w:t>
            </w:r>
            <w:r w:rsidR="000361D2" w:rsidRPr="0071217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of this </w:t>
            </w:r>
            <w:r w:rsidR="00CF3ACA" w:rsidRPr="00712174">
              <w:rPr>
                <w:rFonts w:asciiTheme="minorHAnsi" w:hAnsiTheme="minorHAnsi" w:cstheme="minorHAnsi"/>
                <w:szCs w:val="22"/>
              </w:rPr>
              <w:t>D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ecision for the purposes of implementation of </w:t>
            </w:r>
            <w:r w:rsidR="00CF3ACA" w:rsidRPr="00712174">
              <w:rPr>
                <w:rFonts w:asciiTheme="minorHAnsi" w:hAnsiTheme="minorHAnsi" w:cstheme="minorHAnsi"/>
                <w:szCs w:val="22"/>
              </w:rPr>
              <w:t>the same</w:t>
            </w:r>
            <w:r w:rsidRPr="00712174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72EF9E50" w14:textId="77777777" w:rsidR="00447348" w:rsidRPr="00712174" w:rsidRDefault="00447348" w:rsidP="008C2BFC">
            <w:pPr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7F578E2C" w14:textId="42464E7C" w:rsidR="002D2D86" w:rsidRPr="00712174" w:rsidRDefault="002D2D86" w:rsidP="008C2BFC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</w:rPr>
              <w:t xml:space="preserve">Article </w:t>
            </w:r>
            <w:r w:rsidR="00712174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  <w:p w14:paraId="5CF62D96" w14:textId="6D996609" w:rsidR="0009720F" w:rsidRPr="00712174" w:rsidRDefault="00E5707C" w:rsidP="008C2BFC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The decision shall enter into force on the day of its adoption.</w:t>
            </w:r>
          </w:p>
          <w:p w14:paraId="30EC5497" w14:textId="77777777" w:rsidR="00447348" w:rsidRPr="00712174" w:rsidRDefault="00447348" w:rsidP="008C2BFC">
            <w:pPr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6B3FBA37" w14:textId="416B2F39" w:rsidR="00313D19" w:rsidRPr="00712174" w:rsidRDefault="00313D19" w:rsidP="008C2BFC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</w:rPr>
              <w:t xml:space="preserve">Article </w:t>
            </w:r>
            <w:r w:rsidR="00712174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  <w:p w14:paraId="06D7D14F" w14:textId="3A50AEA9" w:rsidR="00CF3ACA" w:rsidRPr="00712174" w:rsidRDefault="00CF3ACA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The draft Decision for approving the interested party transaction to be presented to the Shareholders Assembly in order to be adopted.</w:t>
            </w:r>
          </w:p>
          <w:p w14:paraId="2F948671" w14:textId="77777777" w:rsidR="00447348" w:rsidRPr="00712174" w:rsidRDefault="00447348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20858AF5" w14:textId="77777777" w:rsidR="002D2D86" w:rsidRPr="00712174" w:rsidRDefault="009121FE" w:rsidP="008C2BFC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Sent to:</w:t>
            </w:r>
          </w:p>
          <w:p w14:paraId="3E30A8E1" w14:textId="77777777" w:rsidR="009121FE" w:rsidRPr="00712174" w:rsidRDefault="00CF3ACA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-A</w:t>
            </w:r>
            <w:r w:rsidR="009121FE" w:rsidRPr="00712174">
              <w:rPr>
                <w:rFonts w:asciiTheme="minorHAnsi" w:hAnsiTheme="minorHAnsi" w:cstheme="minorHAnsi"/>
                <w:szCs w:val="22"/>
              </w:rPr>
              <w:t>rchive</w:t>
            </w:r>
          </w:p>
          <w:p w14:paraId="6BCB8B57" w14:textId="77777777" w:rsidR="009121FE" w:rsidRPr="00712174" w:rsidRDefault="00CF3ACA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-F</w:t>
            </w:r>
            <w:r w:rsidR="009121FE" w:rsidRPr="00712174">
              <w:rPr>
                <w:rFonts w:asciiTheme="minorHAnsi" w:hAnsiTheme="minorHAnsi" w:cstheme="minorHAnsi"/>
                <w:szCs w:val="22"/>
              </w:rPr>
              <w:t>inancial department</w:t>
            </w:r>
          </w:p>
          <w:p w14:paraId="7AAD6D02" w14:textId="77777777" w:rsidR="000F6FDD" w:rsidRPr="00712174" w:rsidRDefault="00CF3ACA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712174">
              <w:rPr>
                <w:rFonts w:asciiTheme="minorHAnsi" w:hAnsiTheme="minorHAnsi" w:cstheme="minorHAnsi"/>
                <w:szCs w:val="22"/>
              </w:rPr>
              <w:t>-L</w:t>
            </w:r>
            <w:r w:rsidR="009121FE" w:rsidRPr="00712174">
              <w:rPr>
                <w:rFonts w:asciiTheme="minorHAnsi" w:hAnsiTheme="minorHAnsi" w:cstheme="minorHAnsi"/>
                <w:szCs w:val="22"/>
              </w:rPr>
              <w:t xml:space="preserve">egal </w:t>
            </w:r>
            <w:r w:rsidRPr="00712174">
              <w:rPr>
                <w:rFonts w:asciiTheme="minorHAnsi" w:hAnsiTheme="minorHAnsi" w:cstheme="minorHAnsi"/>
                <w:szCs w:val="22"/>
              </w:rPr>
              <w:t>section</w:t>
            </w:r>
          </w:p>
        </w:tc>
      </w:tr>
      <w:tr w:rsidR="00110179" w:rsidRPr="00712174" w14:paraId="515396F9" w14:textId="77777777" w:rsidTr="00447348">
        <w:trPr>
          <w:trHeight w:val="1619"/>
        </w:trPr>
        <w:tc>
          <w:tcPr>
            <w:tcW w:w="9350" w:type="dxa"/>
            <w:gridSpan w:val="2"/>
          </w:tcPr>
          <w:p w14:paraId="4CC3C6E3" w14:textId="77777777" w:rsidR="00447348" w:rsidRPr="00712174" w:rsidRDefault="00447348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</w:p>
          <w:p w14:paraId="137B550B" w14:textId="7848608F" w:rsidR="00110179" w:rsidRPr="00712174" w:rsidRDefault="00110179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>Одбор на директор</w:t>
            </w:r>
            <w:r w:rsidR="001E0704"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>и</w:t>
            </w: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>/ Board of Directors</w:t>
            </w:r>
          </w:p>
          <w:p w14:paraId="7D7A4449" w14:textId="77777777" w:rsidR="00110179" w:rsidRPr="00712174" w:rsidRDefault="00110179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>Претседател/President</w:t>
            </w:r>
          </w:p>
          <w:p w14:paraId="569A94B0" w14:textId="244D8F0A" w:rsidR="00110179" w:rsidRPr="00712174" w:rsidRDefault="00447348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Cs w:val="22"/>
                <w:lang w:val="mk-MK"/>
              </w:rPr>
            </w:pP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>Јанис Паниарас</w:t>
            </w:r>
            <w:r w:rsidR="00110179"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 xml:space="preserve"> /</w:t>
            </w:r>
            <w:r w:rsidRPr="00712174">
              <w:rPr>
                <w:rFonts w:asciiTheme="minorHAnsi" w:hAnsiTheme="minorHAnsi" w:cstheme="minorHAnsi"/>
                <w:b/>
                <w:szCs w:val="22"/>
                <w:lang w:val="mk-MK"/>
              </w:rPr>
              <w:t xml:space="preserve"> Ioannis Paniaras</w:t>
            </w:r>
          </w:p>
          <w:p w14:paraId="5509D265" w14:textId="77777777" w:rsidR="00110179" w:rsidRPr="00712174" w:rsidRDefault="00110179" w:rsidP="008C2BFC">
            <w:pPr>
              <w:spacing w:before="0"/>
              <w:contextualSpacing/>
              <w:jc w:val="center"/>
              <w:rPr>
                <w:rFonts w:asciiTheme="minorHAnsi" w:hAnsiTheme="minorHAnsi" w:cstheme="minorHAnsi"/>
                <w:noProof/>
                <w:szCs w:val="22"/>
                <w:lang w:eastAsia="el-GR"/>
              </w:rPr>
            </w:pPr>
            <w:r w:rsidRPr="00712174">
              <w:rPr>
                <w:rFonts w:asciiTheme="minorHAnsi" w:hAnsiTheme="minorHAnsi" w:cstheme="minorHAnsi"/>
                <w:noProof/>
                <w:szCs w:val="22"/>
                <w:lang w:eastAsia="el-GR"/>
              </w:rPr>
              <w:t>_________________________</w:t>
            </w:r>
          </w:p>
          <w:p w14:paraId="74D959B6" w14:textId="77777777" w:rsidR="00110179" w:rsidRPr="00712174" w:rsidRDefault="00110179" w:rsidP="008C2BFC">
            <w:pPr>
              <w:spacing w:before="0"/>
              <w:contextualSpacing/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</w:tbl>
    <w:p w14:paraId="3B1A744B" w14:textId="00EC4295" w:rsidR="00447348" w:rsidRPr="00712174" w:rsidRDefault="00447348" w:rsidP="00447348">
      <w:pPr>
        <w:tabs>
          <w:tab w:val="left" w:pos="1065"/>
        </w:tabs>
        <w:rPr>
          <w:rFonts w:asciiTheme="minorHAnsi" w:hAnsiTheme="minorHAnsi" w:cstheme="minorHAnsi"/>
          <w:szCs w:val="22"/>
        </w:rPr>
      </w:pPr>
    </w:p>
    <w:sectPr w:rsidR="00447348" w:rsidRPr="00712174" w:rsidSect="00C73F00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D926" w14:textId="77777777" w:rsidR="00363D34" w:rsidRDefault="00363D34" w:rsidP="00447348">
      <w:pPr>
        <w:spacing w:before="0"/>
      </w:pPr>
      <w:r>
        <w:separator/>
      </w:r>
    </w:p>
  </w:endnote>
  <w:endnote w:type="continuationSeparator" w:id="0">
    <w:p w14:paraId="6FA90B39" w14:textId="77777777" w:rsidR="00363D34" w:rsidRDefault="00363D34" w:rsidP="004473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a Helvetik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1AD3" w14:textId="77777777" w:rsidR="00363D34" w:rsidRDefault="00363D34" w:rsidP="00447348">
      <w:pPr>
        <w:spacing w:before="0"/>
      </w:pPr>
      <w:r>
        <w:separator/>
      </w:r>
    </w:p>
  </w:footnote>
  <w:footnote w:type="continuationSeparator" w:id="0">
    <w:p w14:paraId="2A7AE410" w14:textId="77777777" w:rsidR="00363D34" w:rsidRDefault="00363D34" w:rsidP="004473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981"/>
    <w:multiLevelType w:val="hybridMultilevel"/>
    <w:tmpl w:val="8EAA9D5C"/>
    <w:lvl w:ilvl="0" w:tplc="C32CE07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F74"/>
    <w:multiLevelType w:val="hybridMultilevel"/>
    <w:tmpl w:val="92206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EAE"/>
    <w:multiLevelType w:val="hybridMultilevel"/>
    <w:tmpl w:val="912E2D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77E"/>
    <w:multiLevelType w:val="hybridMultilevel"/>
    <w:tmpl w:val="8DF0A9FC"/>
    <w:lvl w:ilvl="0" w:tplc="CD18C4C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67BE5"/>
    <w:multiLevelType w:val="hybridMultilevel"/>
    <w:tmpl w:val="822E9DAC"/>
    <w:lvl w:ilvl="0" w:tplc="A51EF0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9356F"/>
    <w:multiLevelType w:val="hybridMultilevel"/>
    <w:tmpl w:val="C71A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02FC"/>
    <w:multiLevelType w:val="hybridMultilevel"/>
    <w:tmpl w:val="4D80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7D4"/>
    <w:multiLevelType w:val="hybridMultilevel"/>
    <w:tmpl w:val="36C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4C5C"/>
    <w:multiLevelType w:val="hybridMultilevel"/>
    <w:tmpl w:val="2C90063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7D04"/>
    <w:multiLevelType w:val="hybridMultilevel"/>
    <w:tmpl w:val="B1B4F6F4"/>
    <w:lvl w:ilvl="0" w:tplc="A51EF0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C0E14"/>
    <w:multiLevelType w:val="hybridMultilevel"/>
    <w:tmpl w:val="3132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44EF"/>
    <w:multiLevelType w:val="hybridMultilevel"/>
    <w:tmpl w:val="28B4F7D4"/>
    <w:lvl w:ilvl="0" w:tplc="DCCE5520">
      <w:numFmt w:val="bullet"/>
      <w:lvlText w:val="-"/>
      <w:lvlJc w:val="left"/>
      <w:pPr>
        <w:ind w:left="0" w:hanging="360"/>
      </w:pPr>
      <w:rPr>
        <w:rFonts w:ascii="Tahoma" w:eastAsia="Tahoma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8A71821"/>
    <w:multiLevelType w:val="hybridMultilevel"/>
    <w:tmpl w:val="52D2A99E"/>
    <w:lvl w:ilvl="0" w:tplc="B606B2B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36573"/>
    <w:multiLevelType w:val="hybridMultilevel"/>
    <w:tmpl w:val="5948A6A2"/>
    <w:lvl w:ilvl="0" w:tplc="A51EF0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40A3A"/>
    <w:multiLevelType w:val="hybridMultilevel"/>
    <w:tmpl w:val="2BB6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25D5A"/>
    <w:multiLevelType w:val="hybridMultilevel"/>
    <w:tmpl w:val="E35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74D2"/>
    <w:multiLevelType w:val="hybridMultilevel"/>
    <w:tmpl w:val="2ADC915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AB3"/>
    <w:multiLevelType w:val="hybridMultilevel"/>
    <w:tmpl w:val="2ADC915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267"/>
    <w:multiLevelType w:val="hybridMultilevel"/>
    <w:tmpl w:val="7E0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7226">
    <w:abstractNumId w:val="8"/>
  </w:num>
  <w:num w:numId="2" w16cid:durableId="1851993261">
    <w:abstractNumId w:val="3"/>
  </w:num>
  <w:num w:numId="3" w16cid:durableId="31272243">
    <w:abstractNumId w:val="0"/>
  </w:num>
  <w:num w:numId="4" w16cid:durableId="1523979644">
    <w:abstractNumId w:val="17"/>
  </w:num>
  <w:num w:numId="5" w16cid:durableId="1674453459">
    <w:abstractNumId w:val="12"/>
  </w:num>
  <w:num w:numId="6" w16cid:durableId="601571948">
    <w:abstractNumId w:val="11"/>
  </w:num>
  <w:num w:numId="7" w16cid:durableId="265504393">
    <w:abstractNumId w:val="15"/>
  </w:num>
  <w:num w:numId="8" w16cid:durableId="1583903924">
    <w:abstractNumId w:val="18"/>
  </w:num>
  <w:num w:numId="9" w16cid:durableId="324818543">
    <w:abstractNumId w:val="13"/>
  </w:num>
  <w:num w:numId="10" w16cid:durableId="578752852">
    <w:abstractNumId w:val="9"/>
  </w:num>
  <w:num w:numId="11" w16cid:durableId="1827088318">
    <w:abstractNumId w:val="4"/>
  </w:num>
  <w:num w:numId="12" w16cid:durableId="1280188953">
    <w:abstractNumId w:val="16"/>
  </w:num>
  <w:num w:numId="13" w16cid:durableId="361246326">
    <w:abstractNumId w:val="10"/>
  </w:num>
  <w:num w:numId="14" w16cid:durableId="168571085">
    <w:abstractNumId w:val="14"/>
  </w:num>
  <w:num w:numId="15" w16cid:durableId="1373577837">
    <w:abstractNumId w:val="2"/>
  </w:num>
  <w:num w:numId="16" w16cid:durableId="1374115823">
    <w:abstractNumId w:val="5"/>
  </w:num>
  <w:num w:numId="17" w16cid:durableId="714937098">
    <w:abstractNumId w:val="6"/>
  </w:num>
  <w:num w:numId="18" w16cid:durableId="2137330852">
    <w:abstractNumId w:val="1"/>
  </w:num>
  <w:num w:numId="19" w16cid:durableId="2020109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DD"/>
    <w:rsid w:val="000022E1"/>
    <w:rsid w:val="00005C15"/>
    <w:rsid w:val="000361D2"/>
    <w:rsid w:val="000466C7"/>
    <w:rsid w:val="00073DA2"/>
    <w:rsid w:val="0009720F"/>
    <w:rsid w:val="000A49A8"/>
    <w:rsid w:val="000B6672"/>
    <w:rsid w:val="000C5EDC"/>
    <w:rsid w:val="000C73D2"/>
    <w:rsid w:val="000D4885"/>
    <w:rsid w:val="000E79DC"/>
    <w:rsid w:val="000F6FDD"/>
    <w:rsid w:val="00110179"/>
    <w:rsid w:val="00111310"/>
    <w:rsid w:val="0012194D"/>
    <w:rsid w:val="00122FA8"/>
    <w:rsid w:val="00131F29"/>
    <w:rsid w:val="001406D4"/>
    <w:rsid w:val="001612A9"/>
    <w:rsid w:val="001743CE"/>
    <w:rsid w:val="00174D9D"/>
    <w:rsid w:val="0018603F"/>
    <w:rsid w:val="0019527E"/>
    <w:rsid w:val="001E0704"/>
    <w:rsid w:val="001E2FCC"/>
    <w:rsid w:val="002228F3"/>
    <w:rsid w:val="00233201"/>
    <w:rsid w:val="00233721"/>
    <w:rsid w:val="00254DD5"/>
    <w:rsid w:val="0028015A"/>
    <w:rsid w:val="00280587"/>
    <w:rsid w:val="002A17D0"/>
    <w:rsid w:val="002B56C5"/>
    <w:rsid w:val="002B6ED7"/>
    <w:rsid w:val="002D2D86"/>
    <w:rsid w:val="003063CA"/>
    <w:rsid w:val="00313D19"/>
    <w:rsid w:val="00315077"/>
    <w:rsid w:val="00351020"/>
    <w:rsid w:val="00352902"/>
    <w:rsid w:val="00361B23"/>
    <w:rsid w:val="0036271F"/>
    <w:rsid w:val="00363D34"/>
    <w:rsid w:val="003A7D70"/>
    <w:rsid w:val="003C2268"/>
    <w:rsid w:val="003D729A"/>
    <w:rsid w:val="003E24B0"/>
    <w:rsid w:val="003F3A5D"/>
    <w:rsid w:val="00436204"/>
    <w:rsid w:val="00441FEE"/>
    <w:rsid w:val="00447348"/>
    <w:rsid w:val="00457582"/>
    <w:rsid w:val="004624BA"/>
    <w:rsid w:val="0046359A"/>
    <w:rsid w:val="00493754"/>
    <w:rsid w:val="004A569A"/>
    <w:rsid w:val="004B05ED"/>
    <w:rsid w:val="004E6E64"/>
    <w:rsid w:val="00536986"/>
    <w:rsid w:val="005414CC"/>
    <w:rsid w:val="00555532"/>
    <w:rsid w:val="0057461D"/>
    <w:rsid w:val="0058746C"/>
    <w:rsid w:val="005A3550"/>
    <w:rsid w:val="005C2E15"/>
    <w:rsid w:val="005C777B"/>
    <w:rsid w:val="005E1734"/>
    <w:rsid w:val="005E3C74"/>
    <w:rsid w:val="005E46D7"/>
    <w:rsid w:val="005E5A5D"/>
    <w:rsid w:val="005E6C46"/>
    <w:rsid w:val="0060554C"/>
    <w:rsid w:val="00610000"/>
    <w:rsid w:val="006311F2"/>
    <w:rsid w:val="006D5ED7"/>
    <w:rsid w:val="006E2480"/>
    <w:rsid w:val="006F12B9"/>
    <w:rsid w:val="00712174"/>
    <w:rsid w:val="0073454F"/>
    <w:rsid w:val="00760B6B"/>
    <w:rsid w:val="00771287"/>
    <w:rsid w:val="007B4EBD"/>
    <w:rsid w:val="007B5F11"/>
    <w:rsid w:val="007D44DB"/>
    <w:rsid w:val="007E522E"/>
    <w:rsid w:val="0080055C"/>
    <w:rsid w:val="008062F1"/>
    <w:rsid w:val="00810389"/>
    <w:rsid w:val="00820A19"/>
    <w:rsid w:val="00851B61"/>
    <w:rsid w:val="008715BF"/>
    <w:rsid w:val="00891ABE"/>
    <w:rsid w:val="008A3B47"/>
    <w:rsid w:val="008A3CDB"/>
    <w:rsid w:val="008C2BFC"/>
    <w:rsid w:val="008F0E38"/>
    <w:rsid w:val="008F7CBC"/>
    <w:rsid w:val="00906DA3"/>
    <w:rsid w:val="009109EA"/>
    <w:rsid w:val="009121FE"/>
    <w:rsid w:val="00933824"/>
    <w:rsid w:val="00937E76"/>
    <w:rsid w:val="00940E74"/>
    <w:rsid w:val="00952E93"/>
    <w:rsid w:val="00992F72"/>
    <w:rsid w:val="00993BEB"/>
    <w:rsid w:val="00994B06"/>
    <w:rsid w:val="009B0B28"/>
    <w:rsid w:val="009C53A8"/>
    <w:rsid w:val="009C6C49"/>
    <w:rsid w:val="009E5C4B"/>
    <w:rsid w:val="00A85B1D"/>
    <w:rsid w:val="00AA4CB6"/>
    <w:rsid w:val="00AA4EFA"/>
    <w:rsid w:val="00AB1596"/>
    <w:rsid w:val="00AB247A"/>
    <w:rsid w:val="00AB57B5"/>
    <w:rsid w:val="00AB57EF"/>
    <w:rsid w:val="00AD5336"/>
    <w:rsid w:val="00B05894"/>
    <w:rsid w:val="00B10A46"/>
    <w:rsid w:val="00B13520"/>
    <w:rsid w:val="00B16CB9"/>
    <w:rsid w:val="00B51948"/>
    <w:rsid w:val="00B534B4"/>
    <w:rsid w:val="00B57A12"/>
    <w:rsid w:val="00BA26C6"/>
    <w:rsid w:val="00BB4BA6"/>
    <w:rsid w:val="00BD174C"/>
    <w:rsid w:val="00BE273E"/>
    <w:rsid w:val="00BE3B75"/>
    <w:rsid w:val="00BF5BFE"/>
    <w:rsid w:val="00C26D24"/>
    <w:rsid w:val="00C368F0"/>
    <w:rsid w:val="00C53D42"/>
    <w:rsid w:val="00C60765"/>
    <w:rsid w:val="00C66116"/>
    <w:rsid w:val="00C73F00"/>
    <w:rsid w:val="00C90B41"/>
    <w:rsid w:val="00CF3ACA"/>
    <w:rsid w:val="00D279EF"/>
    <w:rsid w:val="00DB5F66"/>
    <w:rsid w:val="00DC2AD4"/>
    <w:rsid w:val="00DD3D48"/>
    <w:rsid w:val="00DF505A"/>
    <w:rsid w:val="00DF68C7"/>
    <w:rsid w:val="00E36277"/>
    <w:rsid w:val="00E5707C"/>
    <w:rsid w:val="00E64259"/>
    <w:rsid w:val="00EB527C"/>
    <w:rsid w:val="00EB5D05"/>
    <w:rsid w:val="00EC1388"/>
    <w:rsid w:val="00EF5312"/>
    <w:rsid w:val="00F07871"/>
    <w:rsid w:val="00F27F3F"/>
    <w:rsid w:val="00F32CBF"/>
    <w:rsid w:val="00F71547"/>
    <w:rsid w:val="00F80AD1"/>
    <w:rsid w:val="00FD5EFB"/>
    <w:rsid w:val="00FD7FE0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9255"/>
  <w15:docId w15:val="{0CAFD697-5106-467B-A1BB-DB5796E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DD"/>
    <w:pPr>
      <w:spacing w:before="120"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4624B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4BA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624BA"/>
  </w:style>
  <w:style w:type="paragraph" w:styleId="BodyText">
    <w:name w:val="Body Text"/>
    <w:basedOn w:val="Normal"/>
    <w:link w:val="BodyTextChar"/>
    <w:rsid w:val="002D2D86"/>
    <w:pPr>
      <w:spacing w:before="0"/>
    </w:pPr>
    <w:rPr>
      <w:rFonts w:ascii="Makedonska Helvetika" w:hAnsi="Makedonska Helvetik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D2D86"/>
    <w:rPr>
      <w:rFonts w:ascii="Makedonska Helvetika" w:eastAsia="Times New Roman" w:hAnsi="Makedonska Helvetika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2D2D86"/>
    <w:pPr>
      <w:spacing w:before="0"/>
      <w:ind w:left="720"/>
      <w:jc w:val="left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7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76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34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348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7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7DB3-9CD7-4FBE-8D77-65304EA8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majaj</dc:creator>
  <cp:lastModifiedBy>Micajkova Violeta</cp:lastModifiedBy>
  <cp:revision>31</cp:revision>
  <cp:lastPrinted>2022-04-19T12:30:00Z</cp:lastPrinted>
  <dcterms:created xsi:type="dcterms:W3CDTF">2018-04-27T11:55:00Z</dcterms:created>
  <dcterms:modified xsi:type="dcterms:W3CDTF">2022-09-28T09:23:00Z</dcterms:modified>
</cp:coreProperties>
</file>