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E4" w:rsidRDefault="004B06E4" w:rsidP="004B06E4">
      <w:pPr>
        <w:jc w:val="center"/>
        <w:rPr>
          <w:b/>
          <w:sz w:val="32"/>
          <w:szCs w:val="32"/>
        </w:rPr>
      </w:pPr>
      <w:bookmarkStart w:id="0" w:name="_GoBack"/>
      <w:bookmarkEnd w:id="0"/>
      <w:r>
        <w:rPr>
          <w:b/>
          <w:noProof/>
          <w:sz w:val="32"/>
          <w:szCs w:val="32"/>
          <w:lang w:eastAsia="mk-MK"/>
        </w:rPr>
        <w:drawing>
          <wp:anchor distT="0" distB="0" distL="114300" distR="114300" simplePos="0" relativeHeight="251659776" behindDoc="0" locked="0" layoutInCell="1" allowOverlap="1">
            <wp:simplePos x="0" y="0"/>
            <wp:positionH relativeFrom="column">
              <wp:posOffset>1438275</wp:posOffset>
            </wp:positionH>
            <wp:positionV relativeFrom="paragraph">
              <wp:posOffset>-504825</wp:posOffset>
            </wp:positionV>
            <wp:extent cx="2790825" cy="790575"/>
            <wp:effectExtent l="19050" t="0" r="9525" b="0"/>
            <wp:wrapNone/>
            <wp:docPr id="1" name="Picture 1" descr="Unibank-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bank-mac"/>
                    <pic:cNvPicPr>
                      <a:picLocks noChangeAspect="1" noChangeArrowheads="1"/>
                    </pic:cNvPicPr>
                  </pic:nvPicPr>
                  <pic:blipFill>
                    <a:blip r:embed="rId6" cstate="print"/>
                    <a:srcRect/>
                    <a:stretch>
                      <a:fillRect/>
                    </a:stretch>
                  </pic:blipFill>
                  <pic:spPr bwMode="auto">
                    <a:xfrm>
                      <a:off x="0" y="0"/>
                      <a:ext cx="2790825" cy="790575"/>
                    </a:xfrm>
                    <a:prstGeom prst="rect">
                      <a:avLst/>
                    </a:prstGeom>
                    <a:noFill/>
                  </pic:spPr>
                </pic:pic>
              </a:graphicData>
            </a:graphic>
          </wp:anchor>
        </w:drawing>
      </w:r>
    </w:p>
    <w:p w:rsidR="004B06E4" w:rsidRDefault="004B06E4" w:rsidP="004B06E4">
      <w:pPr>
        <w:rPr>
          <w:b/>
          <w:sz w:val="28"/>
          <w:szCs w:val="28"/>
        </w:rPr>
      </w:pPr>
    </w:p>
    <w:p w:rsidR="004B06E4" w:rsidRPr="001B1C02" w:rsidRDefault="004B06E4" w:rsidP="004B06E4">
      <w:pPr>
        <w:rPr>
          <w:b/>
          <w:sz w:val="28"/>
          <w:szCs w:val="28"/>
        </w:rPr>
      </w:pPr>
    </w:p>
    <w:p w:rsidR="004B06E4" w:rsidRPr="005750B7" w:rsidRDefault="004C4FDA" w:rsidP="004B06E4">
      <w:pPr>
        <w:jc w:val="center"/>
        <w:rPr>
          <w:b/>
          <w:sz w:val="28"/>
          <w:szCs w:val="28"/>
        </w:rPr>
      </w:pPr>
      <w:r>
        <w:rPr>
          <w:b/>
          <w:sz w:val="28"/>
          <w:szCs w:val="28"/>
        </w:rPr>
        <w:t xml:space="preserve">Образложение за </w:t>
      </w:r>
      <w:r w:rsidR="004B06E4">
        <w:rPr>
          <w:b/>
          <w:sz w:val="28"/>
          <w:szCs w:val="28"/>
        </w:rPr>
        <w:t xml:space="preserve">остварените финансиски резултати </w:t>
      </w:r>
      <w:r w:rsidR="004B06E4" w:rsidRPr="00BA7E44">
        <w:rPr>
          <w:b/>
          <w:sz w:val="28"/>
          <w:szCs w:val="28"/>
        </w:rPr>
        <w:t xml:space="preserve"> на Универзална </w:t>
      </w:r>
      <w:r w:rsidR="004B06E4" w:rsidRPr="005750B7">
        <w:rPr>
          <w:b/>
          <w:sz w:val="28"/>
          <w:szCs w:val="28"/>
        </w:rPr>
        <w:t xml:space="preserve">Инвестициона Банка АД Скопје </w:t>
      </w:r>
      <w:r w:rsidR="00F801E3">
        <w:rPr>
          <w:b/>
          <w:sz w:val="28"/>
          <w:szCs w:val="28"/>
        </w:rPr>
        <w:t>за период Јануари –</w:t>
      </w:r>
      <w:r w:rsidR="005901CE">
        <w:rPr>
          <w:b/>
          <w:sz w:val="28"/>
          <w:szCs w:val="28"/>
        </w:rPr>
        <w:t>Јуни</w:t>
      </w:r>
      <w:r w:rsidR="004E57D6">
        <w:rPr>
          <w:b/>
          <w:sz w:val="28"/>
          <w:szCs w:val="28"/>
        </w:rPr>
        <w:t xml:space="preserve"> </w:t>
      </w:r>
      <w:r w:rsidR="004B2FCD" w:rsidRPr="005750B7">
        <w:rPr>
          <w:b/>
          <w:sz w:val="28"/>
          <w:szCs w:val="28"/>
        </w:rPr>
        <w:t>202</w:t>
      </w:r>
      <w:r w:rsidR="00692257">
        <w:rPr>
          <w:b/>
          <w:sz w:val="28"/>
          <w:szCs w:val="28"/>
          <w:lang w:val="en-US"/>
        </w:rPr>
        <w:t>3</w:t>
      </w:r>
    </w:p>
    <w:p w:rsidR="003E752E" w:rsidRPr="005750B7" w:rsidRDefault="003E752E" w:rsidP="0086068B">
      <w:pPr>
        <w:spacing w:after="60"/>
        <w:jc w:val="both"/>
        <w:rPr>
          <w:noProof/>
          <w:lang w:val="en-US" w:eastAsia="mk-MK"/>
        </w:rPr>
      </w:pPr>
    </w:p>
    <w:p w:rsidR="00492A36" w:rsidRPr="00F7764F" w:rsidRDefault="00FE2F0D" w:rsidP="00492A36">
      <w:pPr>
        <w:jc w:val="both"/>
      </w:pPr>
      <w:r w:rsidRPr="00F7764F">
        <w:t xml:space="preserve">УНИБанка </w:t>
      </w:r>
      <w:r w:rsidR="00E603C7" w:rsidRPr="00F7764F">
        <w:t>заклучно со</w:t>
      </w:r>
      <w:r w:rsidR="00270786">
        <w:t xml:space="preserve"> </w:t>
      </w:r>
      <w:r w:rsidR="000358B3">
        <w:t>првото полугодие</w:t>
      </w:r>
      <w:r w:rsidR="00E603C7" w:rsidRPr="00F7764F">
        <w:t xml:space="preserve"> од 202</w:t>
      </w:r>
      <w:r w:rsidR="00692257">
        <w:rPr>
          <w:lang w:val="en-US"/>
        </w:rPr>
        <w:t>3</w:t>
      </w:r>
      <w:r w:rsidR="00E603C7" w:rsidRPr="00F7764F">
        <w:t xml:space="preserve"> година</w:t>
      </w:r>
      <w:r w:rsidRPr="00F7764F">
        <w:t xml:space="preserve"> </w:t>
      </w:r>
      <w:r w:rsidR="00492A36" w:rsidRPr="00F7764F">
        <w:t xml:space="preserve">оствари позитивни финансиски резултати преку реализација на низа активности поврзани со зголемување и подобрување на понудата за клиентите со нови атрактивни продукти </w:t>
      </w:r>
      <w:r w:rsidR="00253FFC" w:rsidRPr="00F7764F">
        <w:t xml:space="preserve">вклучително и </w:t>
      </w:r>
      <w:r w:rsidR="00492A36" w:rsidRPr="00F7764F">
        <w:t>од областа на платните сервиси. И во овој период Банката продолжи со имплементација на нови технологии со цел пренасочување на клиентите кон дигиталните канали како побезбедни, поевтини и поедностав</w:t>
      </w:r>
      <w:r w:rsidR="00581F24" w:rsidRPr="00F7764F">
        <w:t>н</w:t>
      </w:r>
      <w:r w:rsidR="00492A36" w:rsidRPr="00F7764F">
        <w:t>и начини на извршување на банкарските трансакции.</w:t>
      </w:r>
    </w:p>
    <w:p w:rsidR="00492A36" w:rsidRPr="00F7764F" w:rsidRDefault="00CA6D71" w:rsidP="006C2148">
      <w:pPr>
        <w:jc w:val="both"/>
      </w:pPr>
      <w:r>
        <w:t>Повеќе од една</w:t>
      </w:r>
      <w:r w:rsidR="000A2417" w:rsidRPr="00C72703">
        <w:t xml:space="preserve"> година </w:t>
      </w:r>
      <w:r w:rsidR="00D84080" w:rsidRPr="00C72703">
        <w:t xml:space="preserve">Банката се справува со предизвиците наметнати </w:t>
      </w:r>
      <w:r w:rsidR="000A2417" w:rsidRPr="00C72703">
        <w:t>од</w:t>
      </w:r>
      <w:r w:rsidR="000A2417" w:rsidRPr="00C72703">
        <w:rPr>
          <w:noProof/>
          <w:lang w:eastAsia="mk-MK"/>
        </w:rPr>
        <w:t xml:space="preserve"> енергетската криза и ескалацијата на руско-украинскиот конфликт кој предизвика силен раст и голема променливост на цените на примарните енергенси што предизвика раст на цените на сите останати производи и услуги.</w:t>
      </w:r>
      <w:r w:rsidR="00966512" w:rsidRPr="00C72703">
        <w:t xml:space="preserve"> Во </w:t>
      </w:r>
      <w:r w:rsidR="004305C8" w:rsidRPr="00C72703">
        <w:t>вакви</w:t>
      </w:r>
      <w:r w:rsidR="00966512" w:rsidRPr="00C72703">
        <w:t xml:space="preserve"> услови основна цел на Банката </w:t>
      </w:r>
      <w:r w:rsidR="004305C8" w:rsidRPr="00C72703">
        <w:t>е да се одржи и зачува ликвидната и солвентната позиција на банката,</w:t>
      </w:r>
      <w:r w:rsidR="00966512" w:rsidRPr="00C72703">
        <w:t xml:space="preserve"> да </w:t>
      </w:r>
      <w:r w:rsidR="004305C8" w:rsidRPr="00C72703">
        <w:t>се</w:t>
      </w:r>
      <w:r w:rsidR="00966512" w:rsidRPr="00C72703">
        <w:t xml:space="preserve"> задржи континуитетот и квалитетот на услугите кои ги нуди </w:t>
      </w:r>
      <w:r w:rsidR="0036791E" w:rsidRPr="00C72703">
        <w:t xml:space="preserve">како и да </w:t>
      </w:r>
      <w:r w:rsidR="004305C8" w:rsidRPr="00C72703">
        <w:t xml:space="preserve">се </w:t>
      </w:r>
      <w:r w:rsidR="0036791E" w:rsidRPr="00C72703">
        <w:t>обезбеди финансиска подршка на клиентите</w:t>
      </w:r>
      <w:r w:rsidR="00492A36" w:rsidRPr="00C72703">
        <w:t>, притоа зал</w:t>
      </w:r>
      <w:r w:rsidR="00515B1D" w:rsidRPr="00C72703">
        <w:t>агајќи се максимално за безб</w:t>
      </w:r>
      <w:r w:rsidR="00492A36" w:rsidRPr="00C72703">
        <w:t>е</w:t>
      </w:r>
      <w:r w:rsidR="00515B1D" w:rsidRPr="00C72703">
        <w:t>д</w:t>
      </w:r>
      <w:r w:rsidR="00492A36" w:rsidRPr="00C72703">
        <w:t>носта на клиентите при користењето на услугите на Банката</w:t>
      </w:r>
      <w:r w:rsidR="00515B1D" w:rsidRPr="00C72703">
        <w:t>, како и за безбедноста на вработените</w:t>
      </w:r>
      <w:r w:rsidR="0036791E" w:rsidRPr="00C72703">
        <w:t>.</w:t>
      </w:r>
      <w:r w:rsidR="0036791E" w:rsidRPr="00F7764F">
        <w:t xml:space="preserve"> </w:t>
      </w:r>
    </w:p>
    <w:p w:rsidR="00F00C74" w:rsidRPr="00F7764F" w:rsidRDefault="004C0BFB" w:rsidP="00913FAD">
      <w:pPr>
        <w:pStyle w:val="ListParagraph"/>
        <w:numPr>
          <w:ilvl w:val="0"/>
          <w:numId w:val="1"/>
        </w:numPr>
        <w:jc w:val="both"/>
        <w:rPr>
          <w:b/>
        </w:rPr>
      </w:pPr>
      <w:r w:rsidRPr="00F7764F">
        <w:rPr>
          <w:rFonts w:cs="Arial"/>
          <w:b/>
        </w:rPr>
        <w:t>Сметководствени политики и методи на вреднување</w:t>
      </w:r>
    </w:p>
    <w:p w:rsidR="00913FAD" w:rsidRPr="00F7764F" w:rsidRDefault="00FE2F0D" w:rsidP="005B0B8B">
      <w:pPr>
        <w:ind w:left="720"/>
        <w:jc w:val="both"/>
        <w:rPr>
          <w:b/>
          <w:color w:val="000000" w:themeColor="text1"/>
        </w:rPr>
      </w:pPr>
      <w:r w:rsidRPr="00F7764F">
        <w:rPr>
          <w:color w:val="000000" w:themeColor="text1"/>
        </w:rPr>
        <w:t>Во текот на 202</w:t>
      </w:r>
      <w:r w:rsidR="00692257">
        <w:rPr>
          <w:color w:val="000000" w:themeColor="text1"/>
          <w:lang w:val="en-US"/>
        </w:rPr>
        <w:t>3</w:t>
      </w:r>
      <w:r w:rsidRPr="00F7764F">
        <w:rPr>
          <w:color w:val="000000" w:themeColor="text1"/>
        </w:rPr>
        <w:t xml:space="preserve"> година</w:t>
      </w:r>
      <w:r w:rsidR="007623D6" w:rsidRPr="00F7764F">
        <w:rPr>
          <w:color w:val="000000" w:themeColor="text1"/>
        </w:rPr>
        <w:t>, Банката нема промени во сметководствените политики и методите на вреднување.</w:t>
      </w:r>
    </w:p>
    <w:p w:rsidR="009C35FC" w:rsidRPr="00F7764F" w:rsidRDefault="004C0BFB" w:rsidP="006F0816">
      <w:pPr>
        <w:pStyle w:val="ListParagraph"/>
        <w:numPr>
          <w:ilvl w:val="0"/>
          <w:numId w:val="1"/>
        </w:numPr>
        <w:jc w:val="both"/>
        <w:rPr>
          <w:lang w:val="en-US"/>
        </w:rPr>
      </w:pPr>
      <w:r w:rsidRPr="00F7764F">
        <w:rPr>
          <w:rFonts w:cs="Arial"/>
          <w:b/>
        </w:rPr>
        <w:t>Остварени приходи</w:t>
      </w:r>
    </w:p>
    <w:p w:rsidR="005B0B8B" w:rsidRPr="00F7764F" w:rsidRDefault="005B0B8B" w:rsidP="005B0B8B">
      <w:pPr>
        <w:pStyle w:val="ListParagraph"/>
        <w:jc w:val="both"/>
        <w:rPr>
          <w:lang w:val="en-US"/>
        </w:rPr>
      </w:pPr>
    </w:p>
    <w:p w:rsidR="00CF5CAA" w:rsidRPr="00F7764F" w:rsidRDefault="00F00C74" w:rsidP="006F0816">
      <w:pPr>
        <w:pStyle w:val="ListParagraph"/>
        <w:jc w:val="both"/>
        <w:rPr>
          <w:b/>
        </w:rPr>
      </w:pPr>
      <w:r w:rsidRPr="00F7764F">
        <w:t xml:space="preserve">Остварените вкупни приходи од работење </w:t>
      </w:r>
      <w:r w:rsidR="00270786">
        <w:t>заклучно со вториот</w:t>
      </w:r>
      <w:r w:rsidR="00F801E3" w:rsidRPr="00F7764F">
        <w:t xml:space="preserve"> квартал од </w:t>
      </w:r>
      <w:r w:rsidR="00E51DA2" w:rsidRPr="00F7764F">
        <w:t>20</w:t>
      </w:r>
      <w:r w:rsidR="00F544C2" w:rsidRPr="00F7764F">
        <w:t>2</w:t>
      </w:r>
      <w:r w:rsidR="00A05E07">
        <w:t>3</w:t>
      </w:r>
      <w:r w:rsidR="00E51DA2" w:rsidRPr="00F7764F">
        <w:t xml:space="preserve"> година </w:t>
      </w:r>
      <w:r w:rsidRPr="00F7764F">
        <w:t xml:space="preserve">изнесуваат </w:t>
      </w:r>
      <w:r w:rsidR="00270786">
        <w:t>1</w:t>
      </w:r>
      <w:r w:rsidR="000358B3">
        <w:t>.</w:t>
      </w:r>
      <w:r w:rsidR="00270786">
        <w:t>017</w:t>
      </w:r>
      <w:r w:rsidR="00692257">
        <w:rPr>
          <w:lang w:val="en-US"/>
        </w:rPr>
        <w:t>.</w:t>
      </w:r>
      <w:r w:rsidR="00D51983">
        <w:t>5</w:t>
      </w:r>
      <w:r w:rsidR="00CB5CCA" w:rsidRPr="00F7764F">
        <w:t xml:space="preserve"> милиони </w:t>
      </w:r>
      <w:r w:rsidRPr="00F7764F">
        <w:t>дена</w:t>
      </w:r>
      <w:r w:rsidR="00C91CF7" w:rsidRPr="00F7764F">
        <w:t>ри  и во однос</w:t>
      </w:r>
      <w:r w:rsidR="00F801E3" w:rsidRPr="00F7764F">
        <w:t xml:space="preserve"> на истиот период од</w:t>
      </w:r>
      <w:r w:rsidR="00F861D5" w:rsidRPr="00F7764F">
        <w:t xml:space="preserve"> </w:t>
      </w:r>
      <w:r w:rsidRPr="00F7764F">
        <w:t>мина</w:t>
      </w:r>
      <w:r w:rsidR="00EA7C00" w:rsidRPr="00F7764F">
        <w:t>та</w:t>
      </w:r>
      <w:r w:rsidR="00AE5992" w:rsidRPr="00F7764F">
        <w:t xml:space="preserve">та година бележат </w:t>
      </w:r>
      <w:r w:rsidR="0049463F" w:rsidRPr="00F7764F">
        <w:t>зголемување</w:t>
      </w:r>
      <w:r w:rsidR="00840A89" w:rsidRPr="00F7764F">
        <w:t xml:space="preserve"> од  </w:t>
      </w:r>
      <w:r w:rsidR="00F801E3" w:rsidRPr="00F7764F">
        <w:t>1</w:t>
      </w:r>
      <w:r w:rsidR="00270786">
        <w:t>3</w:t>
      </w:r>
      <w:r w:rsidR="00840A89" w:rsidRPr="00F7764F">
        <w:t>.</w:t>
      </w:r>
      <w:r w:rsidR="00270786">
        <w:rPr>
          <w:lang w:val="en-US"/>
        </w:rPr>
        <w:t>8</w:t>
      </w:r>
      <w:r w:rsidRPr="00F7764F">
        <w:t>%</w:t>
      </w:r>
      <w:r w:rsidR="000E1EA1" w:rsidRPr="00F7764F">
        <w:t xml:space="preserve">. </w:t>
      </w:r>
    </w:p>
    <w:p w:rsidR="00EA1794" w:rsidRPr="00F7764F" w:rsidRDefault="00EA1794" w:rsidP="00F00C74">
      <w:pPr>
        <w:pStyle w:val="ListParagraph"/>
        <w:jc w:val="both"/>
      </w:pPr>
      <w:r w:rsidRPr="00F7764F">
        <w:rPr>
          <w:noProof/>
          <w:lang w:eastAsia="mk-MK"/>
        </w:rPr>
        <w:t xml:space="preserve">Најголем придонес во остварувањето на  позитивен финансиски резултат во износ од </w:t>
      </w:r>
      <w:r w:rsidR="00270786">
        <w:rPr>
          <w:noProof/>
          <w:lang w:eastAsia="mk-MK"/>
        </w:rPr>
        <w:t>234.5</w:t>
      </w:r>
      <w:r w:rsidR="00F861D5" w:rsidRPr="00F7764F">
        <w:rPr>
          <w:noProof/>
          <w:lang w:eastAsia="mk-MK"/>
        </w:rPr>
        <w:t xml:space="preserve"> </w:t>
      </w:r>
      <w:r w:rsidRPr="00F7764F">
        <w:rPr>
          <w:noProof/>
          <w:lang w:eastAsia="mk-MK"/>
        </w:rPr>
        <w:t>милиони д</w:t>
      </w:r>
      <w:r w:rsidR="002A30B5" w:rsidRPr="00F7764F">
        <w:rPr>
          <w:noProof/>
          <w:lang w:eastAsia="mk-MK"/>
        </w:rPr>
        <w:t>енари имаат приходите од камати како најзначаен елемент на банкарските приходи.</w:t>
      </w:r>
    </w:p>
    <w:p w:rsidR="00883662" w:rsidRPr="00F7764F" w:rsidRDefault="00FD7AFA" w:rsidP="00883662">
      <w:pPr>
        <w:pStyle w:val="ListParagraph"/>
        <w:jc w:val="both"/>
        <w:rPr>
          <w:noProof/>
          <w:lang w:val="bg-BG" w:eastAsia="mk-MK"/>
        </w:rPr>
      </w:pPr>
      <w:r w:rsidRPr="00F7764F">
        <w:t xml:space="preserve">Имено, </w:t>
      </w:r>
      <w:r w:rsidR="00EA1794" w:rsidRPr="00F7764F">
        <w:t>в</w:t>
      </w:r>
      <w:r w:rsidR="000D7DDC" w:rsidRPr="00F7764F">
        <w:t>о структурата на вкупни</w:t>
      </w:r>
      <w:r w:rsidRPr="00F7764F">
        <w:t xml:space="preserve">те приходи </w:t>
      </w:r>
      <w:r w:rsidR="00251D9E" w:rsidRPr="00F7764F">
        <w:t>(приходи од камати, приходи од провизии и надомести, нето-приходи/расходи од курсни разлики</w:t>
      </w:r>
      <w:r w:rsidR="00AA4232" w:rsidRPr="00F7764F">
        <w:t xml:space="preserve"> и </w:t>
      </w:r>
      <w:r w:rsidR="00251D9E" w:rsidRPr="00F7764F">
        <w:t xml:space="preserve">останати приходи од дејноста), </w:t>
      </w:r>
      <w:r w:rsidRPr="00F7764F">
        <w:t xml:space="preserve">најголемо учество од </w:t>
      </w:r>
      <w:r w:rsidR="00AE5992" w:rsidRPr="00F7764F">
        <w:t>6</w:t>
      </w:r>
      <w:r w:rsidR="00692257">
        <w:rPr>
          <w:lang w:val="en-US"/>
        </w:rPr>
        <w:t>5</w:t>
      </w:r>
      <w:r w:rsidR="006921E3" w:rsidRPr="00F7764F">
        <w:t>.</w:t>
      </w:r>
      <w:r w:rsidR="00270786">
        <w:t>1</w:t>
      </w:r>
      <w:r w:rsidR="000D7DDC" w:rsidRPr="00F7764F">
        <w:t>% имаат приходи о</w:t>
      </w:r>
      <w:r w:rsidR="00AE5992" w:rsidRPr="00F7764F">
        <w:t xml:space="preserve">д камати, кои во споредба со </w:t>
      </w:r>
      <w:r w:rsidR="00413697" w:rsidRPr="00F7764F">
        <w:t xml:space="preserve">истиот период  од </w:t>
      </w:r>
      <w:r w:rsidR="00AE5992" w:rsidRPr="00F7764F">
        <w:t>202</w:t>
      </w:r>
      <w:r w:rsidR="00692257">
        <w:rPr>
          <w:lang w:val="en-US"/>
        </w:rPr>
        <w:t>2</w:t>
      </w:r>
      <w:r w:rsidR="00413697" w:rsidRPr="00F7764F">
        <w:t xml:space="preserve"> </w:t>
      </w:r>
      <w:r w:rsidR="00AE5992" w:rsidRPr="00F7764F">
        <w:t xml:space="preserve">година се </w:t>
      </w:r>
      <w:r w:rsidR="00413697" w:rsidRPr="00F7764F">
        <w:t xml:space="preserve">зголемени </w:t>
      </w:r>
      <w:r w:rsidR="00840A89" w:rsidRPr="00F7764F">
        <w:t xml:space="preserve">за </w:t>
      </w:r>
      <w:r w:rsidR="00413697" w:rsidRPr="00F7764F">
        <w:t>2</w:t>
      </w:r>
      <w:r w:rsidR="00270786">
        <w:rPr>
          <w:lang w:val="en-US"/>
        </w:rPr>
        <w:t>2</w:t>
      </w:r>
      <w:r w:rsidR="006921E3" w:rsidRPr="00F7764F">
        <w:t>.</w:t>
      </w:r>
      <w:r w:rsidR="00692257">
        <w:rPr>
          <w:lang w:val="en-US"/>
        </w:rPr>
        <w:t>3</w:t>
      </w:r>
      <w:r w:rsidR="000D7DDC" w:rsidRPr="00F7764F">
        <w:t>%</w:t>
      </w:r>
      <w:r w:rsidR="00AE5992" w:rsidRPr="00F7764F">
        <w:t>, а а</w:t>
      </w:r>
      <w:r w:rsidR="004577B7" w:rsidRPr="00F7764F">
        <w:rPr>
          <w:noProof/>
          <w:lang w:eastAsia="mk-MK"/>
        </w:rPr>
        <w:t>нализата на секторската структура на приходите од камати покажува поголема ориентација на банката кон кредитирање на секторот население</w:t>
      </w:r>
      <w:r w:rsidR="00AE5992" w:rsidRPr="00F7764F">
        <w:rPr>
          <w:noProof/>
          <w:lang w:val="bg-BG" w:eastAsia="mk-MK"/>
        </w:rPr>
        <w:t xml:space="preserve">. Во вкупните приходи </w:t>
      </w:r>
      <w:r w:rsidR="00890832" w:rsidRPr="00F7764F">
        <w:rPr>
          <w:noProof/>
          <w:lang w:val="bg-BG" w:eastAsia="mk-MK"/>
        </w:rPr>
        <w:t xml:space="preserve">од дејноста на банката, </w:t>
      </w:r>
      <w:r w:rsidR="00AE5992" w:rsidRPr="00F7764F">
        <w:rPr>
          <w:noProof/>
          <w:lang w:val="bg-BG" w:eastAsia="mk-MK"/>
        </w:rPr>
        <w:t>треба да се истакне  пораст</w:t>
      </w:r>
      <w:r w:rsidR="002A021D">
        <w:rPr>
          <w:noProof/>
          <w:lang w:eastAsia="mk-MK"/>
        </w:rPr>
        <w:t>от</w:t>
      </w:r>
      <w:r w:rsidR="00AE5992" w:rsidRPr="00F7764F">
        <w:rPr>
          <w:noProof/>
          <w:lang w:val="bg-BG" w:eastAsia="mk-MK"/>
        </w:rPr>
        <w:t xml:space="preserve"> на приходите </w:t>
      </w:r>
      <w:r w:rsidR="007B4DFC" w:rsidRPr="00F7764F">
        <w:rPr>
          <w:noProof/>
          <w:lang w:val="bg-BG" w:eastAsia="mk-MK"/>
        </w:rPr>
        <w:t>од</w:t>
      </w:r>
      <w:r w:rsidR="00AE5992" w:rsidRPr="00F7764F">
        <w:rPr>
          <w:noProof/>
          <w:lang w:val="bg-BG" w:eastAsia="mk-MK"/>
        </w:rPr>
        <w:t xml:space="preserve"> провизии од </w:t>
      </w:r>
      <w:r w:rsidR="00413697" w:rsidRPr="00F7764F">
        <w:rPr>
          <w:noProof/>
          <w:lang w:val="bg-BG" w:eastAsia="mk-MK"/>
        </w:rPr>
        <w:t>7</w:t>
      </w:r>
      <w:r w:rsidR="006921E3" w:rsidRPr="00F7764F">
        <w:rPr>
          <w:noProof/>
          <w:lang w:val="bg-BG" w:eastAsia="mk-MK"/>
        </w:rPr>
        <w:t>.</w:t>
      </w:r>
      <w:r w:rsidR="00270786">
        <w:rPr>
          <w:noProof/>
          <w:lang w:val="bg-BG" w:eastAsia="mk-MK"/>
        </w:rPr>
        <w:t>2</w:t>
      </w:r>
      <w:r w:rsidR="004577B7" w:rsidRPr="00F7764F">
        <w:rPr>
          <w:noProof/>
          <w:lang w:val="bg-BG" w:eastAsia="mk-MK"/>
        </w:rPr>
        <w:t>%</w:t>
      </w:r>
      <w:r w:rsidR="00890832" w:rsidRPr="00F7764F">
        <w:rPr>
          <w:noProof/>
          <w:lang w:val="bg-BG" w:eastAsia="mk-MK"/>
        </w:rPr>
        <w:t xml:space="preserve">, </w:t>
      </w:r>
      <w:r w:rsidR="004577B7" w:rsidRPr="00F7764F">
        <w:rPr>
          <w:noProof/>
          <w:lang w:val="bg-BG" w:eastAsia="mk-MK"/>
        </w:rPr>
        <w:t xml:space="preserve">како резултат на </w:t>
      </w:r>
      <w:r w:rsidR="004868CF" w:rsidRPr="00F7764F">
        <w:rPr>
          <w:noProof/>
          <w:lang w:val="bg-BG" w:eastAsia="mk-MK"/>
        </w:rPr>
        <w:t xml:space="preserve">растечкиот </w:t>
      </w:r>
      <w:r w:rsidR="004577B7" w:rsidRPr="00F7764F">
        <w:rPr>
          <w:noProof/>
          <w:lang w:val="bg-BG" w:eastAsia="mk-MK"/>
        </w:rPr>
        <w:t xml:space="preserve">тренд на </w:t>
      </w:r>
      <w:r w:rsidR="004577B7" w:rsidRPr="00F7764F">
        <w:rPr>
          <w:noProof/>
          <w:lang w:val="bg-BG" w:eastAsia="mk-MK"/>
        </w:rPr>
        <w:lastRenderedPageBreak/>
        <w:t xml:space="preserve">дигитализација </w:t>
      </w:r>
      <w:r w:rsidR="004868CF" w:rsidRPr="00F7764F">
        <w:rPr>
          <w:noProof/>
          <w:lang w:val="bg-BG" w:eastAsia="mk-MK"/>
        </w:rPr>
        <w:t>во</w:t>
      </w:r>
      <w:r w:rsidR="004577B7" w:rsidRPr="00F7764F">
        <w:rPr>
          <w:noProof/>
          <w:lang w:val="bg-BG" w:eastAsia="mk-MK"/>
        </w:rPr>
        <w:t xml:space="preserve"> користењето на банкарските услуги и продукти</w:t>
      </w:r>
      <w:r w:rsidR="00883662" w:rsidRPr="00F7764F">
        <w:rPr>
          <w:noProof/>
          <w:lang w:val="bg-BG" w:eastAsia="mk-MK"/>
        </w:rPr>
        <w:t xml:space="preserve"> и привлекувањето на нови клиенти корисници на наведените услуги. </w:t>
      </w:r>
    </w:p>
    <w:p w:rsidR="00760FAE" w:rsidRPr="00F7764F" w:rsidRDefault="004577B7" w:rsidP="00760FAE">
      <w:pPr>
        <w:pStyle w:val="ListParagraph"/>
        <w:jc w:val="both"/>
        <w:rPr>
          <w:noProof/>
          <w:lang w:val="bg-BG" w:eastAsia="mk-MK"/>
        </w:rPr>
      </w:pPr>
      <w:r w:rsidRPr="00F7764F">
        <w:rPr>
          <w:noProof/>
          <w:lang w:val="bg-BG" w:eastAsia="mk-MK"/>
        </w:rPr>
        <w:t xml:space="preserve"> </w:t>
      </w:r>
    </w:p>
    <w:p w:rsidR="00632361" w:rsidRPr="00F7764F" w:rsidRDefault="00632361" w:rsidP="00760FAE">
      <w:pPr>
        <w:pStyle w:val="ListParagraph"/>
        <w:jc w:val="both"/>
        <w:rPr>
          <w:noProof/>
          <w:lang w:val="bg-BG" w:eastAsia="mk-MK"/>
        </w:rPr>
      </w:pPr>
    </w:p>
    <w:p w:rsidR="004C0BFB" w:rsidRPr="00F7764F" w:rsidRDefault="004C0BFB" w:rsidP="00760FAE">
      <w:pPr>
        <w:pStyle w:val="ListParagraph"/>
        <w:jc w:val="both"/>
        <w:rPr>
          <w:b/>
        </w:rPr>
      </w:pPr>
      <w:r w:rsidRPr="00F7764F">
        <w:rPr>
          <w:rFonts w:cs="Arial"/>
          <w:b/>
        </w:rPr>
        <w:t>Остварени расходи</w:t>
      </w:r>
    </w:p>
    <w:p w:rsidR="009C35FC" w:rsidRPr="00F7764F" w:rsidRDefault="009C35FC" w:rsidP="006F0816">
      <w:pPr>
        <w:pStyle w:val="ListParagraph"/>
        <w:jc w:val="both"/>
        <w:rPr>
          <w:noProof/>
          <w:lang w:val="en-US" w:eastAsia="mk-MK"/>
        </w:rPr>
      </w:pPr>
    </w:p>
    <w:p w:rsidR="00EA2941" w:rsidRPr="00F7764F" w:rsidRDefault="00167115" w:rsidP="00EA2941">
      <w:pPr>
        <w:pStyle w:val="ListParagraph"/>
        <w:jc w:val="both"/>
        <w:rPr>
          <w:noProof/>
          <w:lang w:eastAsia="mk-MK"/>
        </w:rPr>
      </w:pPr>
      <w:r w:rsidRPr="00F7764F">
        <w:rPr>
          <w:noProof/>
          <w:lang w:eastAsia="mk-MK"/>
        </w:rPr>
        <w:t xml:space="preserve">Остварените расходи </w:t>
      </w:r>
      <w:r w:rsidR="00270786">
        <w:rPr>
          <w:noProof/>
          <w:lang w:eastAsia="mk-MK"/>
        </w:rPr>
        <w:t>заклучно со</w:t>
      </w:r>
      <w:r w:rsidR="00413697" w:rsidRPr="00F7764F">
        <w:rPr>
          <w:noProof/>
          <w:lang w:eastAsia="mk-MK"/>
        </w:rPr>
        <w:t xml:space="preserve"> </w:t>
      </w:r>
      <w:r w:rsidR="00270786">
        <w:rPr>
          <w:noProof/>
          <w:lang w:eastAsia="mk-MK"/>
        </w:rPr>
        <w:t>вториот</w:t>
      </w:r>
      <w:r w:rsidR="00F861D5" w:rsidRPr="00F7764F">
        <w:rPr>
          <w:noProof/>
          <w:lang w:eastAsia="mk-MK"/>
        </w:rPr>
        <w:t xml:space="preserve"> квартал </w:t>
      </w:r>
      <w:r w:rsidR="00F33C82" w:rsidRPr="00F7764F">
        <w:t xml:space="preserve"> </w:t>
      </w:r>
      <w:r w:rsidR="00153981" w:rsidRPr="00F7764F">
        <w:rPr>
          <w:noProof/>
          <w:lang w:eastAsia="mk-MK"/>
        </w:rPr>
        <w:t xml:space="preserve">од </w:t>
      </w:r>
      <w:r w:rsidR="00906B92" w:rsidRPr="00F7764F">
        <w:t>202</w:t>
      </w:r>
      <w:r w:rsidR="002A021D">
        <w:t>3</w:t>
      </w:r>
      <w:r w:rsidR="00F861D5" w:rsidRPr="00F7764F">
        <w:t xml:space="preserve"> </w:t>
      </w:r>
      <w:r w:rsidR="007C3F23" w:rsidRPr="00F7764F">
        <w:t>година</w:t>
      </w:r>
      <w:r w:rsidR="00F861D5" w:rsidRPr="00F7764F">
        <w:t xml:space="preserve"> </w:t>
      </w:r>
      <w:r w:rsidRPr="00F7764F">
        <w:rPr>
          <w:noProof/>
          <w:lang w:eastAsia="mk-MK"/>
        </w:rPr>
        <w:t xml:space="preserve">изнесуваат </w:t>
      </w:r>
      <w:r w:rsidR="00270786">
        <w:rPr>
          <w:noProof/>
          <w:lang w:eastAsia="mk-MK"/>
        </w:rPr>
        <w:t>783</w:t>
      </w:r>
      <w:r w:rsidR="00F861D5" w:rsidRPr="00F7764F">
        <w:rPr>
          <w:noProof/>
          <w:lang w:eastAsia="mk-MK"/>
        </w:rPr>
        <w:t xml:space="preserve"> </w:t>
      </w:r>
      <w:r w:rsidR="00CB5CCA" w:rsidRPr="00F7764F">
        <w:rPr>
          <w:noProof/>
          <w:lang w:eastAsia="mk-MK"/>
        </w:rPr>
        <w:t xml:space="preserve">милиони </w:t>
      </w:r>
      <w:r w:rsidR="00840A89" w:rsidRPr="00F7764F">
        <w:rPr>
          <w:noProof/>
          <w:lang w:eastAsia="mk-MK"/>
        </w:rPr>
        <w:t>денари и бележат</w:t>
      </w:r>
      <w:r w:rsidR="00153981" w:rsidRPr="00F7764F">
        <w:rPr>
          <w:noProof/>
          <w:lang w:eastAsia="mk-MK"/>
        </w:rPr>
        <w:t xml:space="preserve"> </w:t>
      </w:r>
      <w:r w:rsidR="002A021D">
        <w:rPr>
          <w:noProof/>
          <w:lang w:eastAsia="mk-MK"/>
        </w:rPr>
        <w:t>намалување</w:t>
      </w:r>
      <w:r w:rsidR="00DD08FA" w:rsidRPr="00F7764F">
        <w:rPr>
          <w:noProof/>
          <w:lang w:eastAsia="mk-MK"/>
        </w:rPr>
        <w:t xml:space="preserve"> </w:t>
      </w:r>
      <w:r w:rsidR="00906B92" w:rsidRPr="00F7764F">
        <w:rPr>
          <w:noProof/>
          <w:lang w:eastAsia="mk-MK"/>
        </w:rPr>
        <w:t xml:space="preserve">од </w:t>
      </w:r>
      <w:r w:rsidR="00270786">
        <w:rPr>
          <w:noProof/>
          <w:lang w:eastAsia="mk-MK"/>
        </w:rPr>
        <w:t>0.9</w:t>
      </w:r>
      <w:r w:rsidRPr="00F7764F">
        <w:rPr>
          <w:noProof/>
          <w:lang w:eastAsia="mk-MK"/>
        </w:rPr>
        <w:t>%</w:t>
      </w:r>
      <w:r w:rsidR="00153981" w:rsidRPr="00F7764F">
        <w:rPr>
          <w:noProof/>
          <w:lang w:eastAsia="mk-MK"/>
        </w:rPr>
        <w:t xml:space="preserve"> во однос на истиот период од 202</w:t>
      </w:r>
      <w:r w:rsidR="002A021D">
        <w:rPr>
          <w:noProof/>
          <w:lang w:eastAsia="mk-MK"/>
        </w:rPr>
        <w:t>2</w:t>
      </w:r>
      <w:r w:rsidR="00200E1D" w:rsidRPr="00F7764F">
        <w:rPr>
          <w:noProof/>
          <w:lang w:eastAsia="mk-MK"/>
        </w:rPr>
        <w:t xml:space="preserve"> година. </w:t>
      </w:r>
      <w:r w:rsidR="002A021D">
        <w:rPr>
          <w:noProof/>
          <w:lang w:eastAsia="mk-MK"/>
        </w:rPr>
        <w:t xml:space="preserve">Намалувањето </w:t>
      </w:r>
      <w:r w:rsidR="0068456C" w:rsidRPr="00F7764F">
        <w:rPr>
          <w:noProof/>
          <w:lang w:eastAsia="mk-MK"/>
        </w:rPr>
        <w:t>на расходите се должи пред се на</w:t>
      </w:r>
      <w:r w:rsidR="00EA2941" w:rsidRPr="00F7764F">
        <w:rPr>
          <w:noProof/>
          <w:lang w:eastAsia="mk-MK"/>
        </w:rPr>
        <w:t xml:space="preserve"> </w:t>
      </w:r>
      <w:r w:rsidR="002A021D">
        <w:rPr>
          <w:noProof/>
          <w:lang w:eastAsia="mk-MK"/>
        </w:rPr>
        <w:t>намалување</w:t>
      </w:r>
      <w:r w:rsidR="00270786">
        <w:rPr>
          <w:noProof/>
          <w:lang w:eastAsia="mk-MK"/>
        </w:rPr>
        <w:t>то</w:t>
      </w:r>
      <w:r w:rsidR="00EA2941" w:rsidRPr="00F7764F">
        <w:rPr>
          <w:noProof/>
          <w:lang w:eastAsia="mk-MK"/>
        </w:rPr>
        <w:t xml:space="preserve"> </w:t>
      </w:r>
      <w:r w:rsidR="00DC1160" w:rsidRPr="00F7764F">
        <w:rPr>
          <w:noProof/>
          <w:lang w:eastAsia="mk-MK"/>
        </w:rPr>
        <w:t>на</w:t>
      </w:r>
      <w:r w:rsidR="00EA2941" w:rsidRPr="00F7764F">
        <w:rPr>
          <w:noProof/>
          <w:lang w:eastAsia="mk-MK"/>
        </w:rPr>
        <w:t xml:space="preserve"> издвоени средства за зајакнување на резервациите по кредити</w:t>
      </w:r>
      <w:r w:rsidR="0068456C" w:rsidRPr="00F7764F">
        <w:rPr>
          <w:noProof/>
          <w:lang w:eastAsia="mk-MK"/>
        </w:rPr>
        <w:t>.</w:t>
      </w:r>
    </w:p>
    <w:p w:rsidR="00F33C82" w:rsidRPr="00F7764F" w:rsidRDefault="00F33C82" w:rsidP="00EA2941">
      <w:pPr>
        <w:pStyle w:val="ListParagraph"/>
        <w:jc w:val="both"/>
        <w:rPr>
          <w:noProof/>
          <w:lang w:eastAsia="mk-MK"/>
        </w:rPr>
      </w:pPr>
    </w:p>
    <w:p w:rsidR="004C0BFB" w:rsidRPr="00F7764F" w:rsidRDefault="004C0BFB" w:rsidP="004C0BFB">
      <w:pPr>
        <w:pStyle w:val="ListParagraph"/>
        <w:numPr>
          <w:ilvl w:val="0"/>
          <w:numId w:val="1"/>
        </w:numPr>
        <w:jc w:val="both"/>
        <w:rPr>
          <w:b/>
        </w:rPr>
      </w:pPr>
      <w:r w:rsidRPr="00F7764F">
        <w:rPr>
          <w:rFonts w:cs="Arial"/>
          <w:b/>
        </w:rPr>
        <w:t>Исплатени дивиденди</w:t>
      </w:r>
    </w:p>
    <w:p w:rsidR="004519F9" w:rsidRPr="00F7764F" w:rsidRDefault="004519F9" w:rsidP="004519F9">
      <w:pPr>
        <w:pStyle w:val="ListParagraph"/>
        <w:jc w:val="both"/>
        <w:rPr>
          <w:b/>
        </w:rPr>
      </w:pPr>
    </w:p>
    <w:p w:rsidR="008F21D7" w:rsidRPr="00F7764F" w:rsidRDefault="008F21D7" w:rsidP="007D4690">
      <w:pPr>
        <w:pStyle w:val="ListParagraph"/>
        <w:jc w:val="both"/>
        <w:rPr>
          <w:rFonts w:cs="Arial"/>
          <w:color w:val="000000" w:themeColor="text1"/>
        </w:rPr>
      </w:pPr>
      <w:r w:rsidRPr="00955750">
        <w:rPr>
          <w:rFonts w:cs="Arial"/>
          <w:color w:val="000000" w:themeColor="text1"/>
        </w:rPr>
        <w:t xml:space="preserve">Во </w:t>
      </w:r>
      <w:r w:rsidR="004469CA" w:rsidRPr="00955750">
        <w:rPr>
          <w:color w:val="000000" w:themeColor="text1"/>
        </w:rPr>
        <w:t xml:space="preserve">текот на </w:t>
      </w:r>
      <w:r w:rsidR="007663BB" w:rsidRPr="00955750">
        <w:rPr>
          <w:rFonts w:cs="Arial"/>
          <w:color w:val="000000" w:themeColor="text1"/>
        </w:rPr>
        <w:t xml:space="preserve"> 202</w:t>
      </w:r>
      <w:r w:rsidR="002A021D" w:rsidRPr="00955750">
        <w:rPr>
          <w:rFonts w:cs="Arial"/>
          <w:color w:val="000000" w:themeColor="text1"/>
        </w:rPr>
        <w:t>3</w:t>
      </w:r>
      <w:r w:rsidR="007663BB" w:rsidRPr="00955750">
        <w:rPr>
          <w:rFonts w:cs="Arial"/>
          <w:color w:val="000000" w:themeColor="text1"/>
        </w:rPr>
        <w:t xml:space="preserve"> </w:t>
      </w:r>
      <w:r w:rsidRPr="00955750">
        <w:rPr>
          <w:rFonts w:cs="Arial"/>
          <w:color w:val="000000" w:themeColor="text1"/>
        </w:rPr>
        <w:t xml:space="preserve">година, банката </w:t>
      </w:r>
      <w:r w:rsidR="006811C6" w:rsidRPr="00955750">
        <w:rPr>
          <w:rFonts w:cs="Arial"/>
          <w:color w:val="000000" w:themeColor="text1"/>
        </w:rPr>
        <w:t xml:space="preserve">има </w:t>
      </w:r>
      <w:r w:rsidRPr="00955750">
        <w:rPr>
          <w:rFonts w:cs="Arial"/>
          <w:color w:val="000000" w:themeColor="text1"/>
        </w:rPr>
        <w:t>исплатено дивиденди</w:t>
      </w:r>
      <w:r w:rsidR="006811C6" w:rsidRPr="00955750">
        <w:rPr>
          <w:rFonts w:cs="Arial"/>
          <w:color w:val="000000" w:themeColor="text1"/>
        </w:rPr>
        <w:t xml:space="preserve"> во износ од 154,5 милиони денари</w:t>
      </w:r>
      <w:r w:rsidR="006B665B" w:rsidRPr="00955750">
        <w:rPr>
          <w:rFonts w:cs="Arial"/>
          <w:color w:val="000000" w:themeColor="text1"/>
        </w:rPr>
        <w:t xml:space="preserve"> или 282,97 денари бруто износ по акција од остварената добивка во 2022 година.</w:t>
      </w:r>
      <w:r w:rsidR="006B665B">
        <w:rPr>
          <w:rFonts w:cs="Arial"/>
          <w:color w:val="000000" w:themeColor="text1"/>
        </w:rPr>
        <w:t xml:space="preserve"> </w:t>
      </w:r>
    </w:p>
    <w:p w:rsidR="007D4690" w:rsidRPr="00F7764F" w:rsidRDefault="007D4690" w:rsidP="007D4690">
      <w:pPr>
        <w:pStyle w:val="ListParagraph"/>
        <w:jc w:val="both"/>
      </w:pPr>
    </w:p>
    <w:p w:rsidR="004C0BFB" w:rsidRPr="00F7764F" w:rsidRDefault="004C0BFB" w:rsidP="004C0BFB">
      <w:pPr>
        <w:pStyle w:val="ListParagraph"/>
        <w:numPr>
          <w:ilvl w:val="0"/>
          <w:numId w:val="1"/>
        </w:numPr>
        <w:jc w:val="both"/>
        <w:rPr>
          <w:b/>
        </w:rPr>
      </w:pPr>
      <w:r w:rsidRPr="00F7764F">
        <w:rPr>
          <w:rFonts w:cs="Arial"/>
          <w:b/>
        </w:rPr>
        <w:t>Вложувања или продажба на материјални средства</w:t>
      </w:r>
    </w:p>
    <w:p w:rsidR="009C35FC" w:rsidRPr="00F7764F" w:rsidRDefault="009C35FC" w:rsidP="00457942">
      <w:pPr>
        <w:pStyle w:val="ListParagraph"/>
        <w:jc w:val="both"/>
        <w:rPr>
          <w:rFonts w:cs="Arial"/>
        </w:rPr>
      </w:pPr>
    </w:p>
    <w:p w:rsidR="00457942" w:rsidRPr="00F7764F" w:rsidRDefault="009C35FC" w:rsidP="00457942">
      <w:pPr>
        <w:pStyle w:val="ListParagraph"/>
        <w:jc w:val="both"/>
        <w:rPr>
          <w:rFonts w:cs="Arial"/>
        </w:rPr>
      </w:pPr>
      <w:r w:rsidRPr="00F7764F">
        <w:rPr>
          <w:rFonts w:cs="Arial"/>
        </w:rPr>
        <w:t>П</w:t>
      </w:r>
      <w:r w:rsidR="00457942" w:rsidRPr="00F7764F">
        <w:rPr>
          <w:rFonts w:cs="Arial"/>
        </w:rPr>
        <w:t>реземенит</w:t>
      </w:r>
      <w:r w:rsidR="00160D8C" w:rsidRPr="00F7764F">
        <w:rPr>
          <w:rFonts w:cs="Arial"/>
        </w:rPr>
        <w:t>е средства врз основа на ненапла</w:t>
      </w:r>
      <w:r w:rsidR="00840A89" w:rsidRPr="00F7764F">
        <w:rPr>
          <w:rFonts w:cs="Arial"/>
        </w:rPr>
        <w:t xml:space="preserve">тени побарувања се </w:t>
      </w:r>
      <w:r w:rsidR="00270786">
        <w:rPr>
          <w:rFonts w:cs="Arial"/>
        </w:rPr>
        <w:t>зголемени</w:t>
      </w:r>
      <w:r w:rsidR="00F950E2" w:rsidRPr="00F7764F">
        <w:rPr>
          <w:rFonts w:cs="Arial"/>
        </w:rPr>
        <w:t xml:space="preserve"> за </w:t>
      </w:r>
      <w:r w:rsidR="00270786">
        <w:rPr>
          <w:rFonts w:cs="Arial"/>
        </w:rPr>
        <w:t>9</w:t>
      </w:r>
      <w:r w:rsidR="00E8155D">
        <w:rPr>
          <w:rFonts w:cs="Arial"/>
        </w:rPr>
        <w:t>1</w:t>
      </w:r>
      <w:r w:rsidR="00270786">
        <w:rPr>
          <w:rFonts w:cs="Arial"/>
        </w:rPr>
        <w:t>.5</w:t>
      </w:r>
      <w:r w:rsidR="00F950E2" w:rsidRPr="00F7764F">
        <w:rPr>
          <w:rFonts w:cs="Arial"/>
        </w:rPr>
        <w:t>% во однос на 31.12.202</w:t>
      </w:r>
      <w:r w:rsidR="002A021D">
        <w:rPr>
          <w:rFonts w:cs="Arial"/>
        </w:rPr>
        <w:t>2</w:t>
      </w:r>
      <w:r w:rsidR="00270786">
        <w:rPr>
          <w:rFonts w:cs="Arial"/>
        </w:rPr>
        <w:t xml:space="preserve">, </w:t>
      </w:r>
      <w:r w:rsidR="00D51983" w:rsidRPr="00E13184">
        <w:rPr>
          <w:rFonts w:cs="Arial"/>
        </w:rPr>
        <w:t xml:space="preserve">како резултат на преземање на нов имот по основ на ненаплатени побарувања во износ од </w:t>
      </w:r>
      <w:r w:rsidR="00D51983">
        <w:rPr>
          <w:rFonts w:cs="Arial"/>
        </w:rPr>
        <w:t>19</w:t>
      </w:r>
      <w:r w:rsidR="00D51983" w:rsidRPr="00E13184">
        <w:rPr>
          <w:rFonts w:cs="Arial"/>
        </w:rPr>
        <w:t xml:space="preserve"> мил. денари</w:t>
      </w:r>
      <w:r w:rsidR="00F950E2" w:rsidRPr="00F7764F">
        <w:rPr>
          <w:rFonts w:cs="Arial"/>
        </w:rPr>
        <w:t>.</w:t>
      </w:r>
    </w:p>
    <w:p w:rsidR="00160D8C" w:rsidRPr="00F7764F" w:rsidRDefault="00160D8C" w:rsidP="00457942">
      <w:pPr>
        <w:pStyle w:val="ListParagraph"/>
        <w:jc w:val="both"/>
      </w:pPr>
    </w:p>
    <w:p w:rsidR="009C35FC" w:rsidRPr="00F7764F" w:rsidRDefault="004C0BFB" w:rsidP="00C4062E">
      <w:pPr>
        <w:pStyle w:val="ListParagraph"/>
        <w:numPr>
          <w:ilvl w:val="0"/>
          <w:numId w:val="1"/>
        </w:numPr>
        <w:jc w:val="both"/>
        <w:rPr>
          <w:rFonts w:cs="Arial"/>
        </w:rPr>
      </w:pPr>
      <w:r w:rsidRPr="00F7764F">
        <w:rPr>
          <w:rFonts w:cs="Arial"/>
          <w:b/>
        </w:rPr>
        <w:t>Обврски по кредити</w:t>
      </w:r>
    </w:p>
    <w:p w:rsidR="000D0203" w:rsidRPr="00F7764F" w:rsidRDefault="000D0203" w:rsidP="000D0203">
      <w:pPr>
        <w:pStyle w:val="ListParagraph"/>
        <w:jc w:val="both"/>
        <w:rPr>
          <w:rFonts w:cs="Arial"/>
        </w:rPr>
      </w:pPr>
    </w:p>
    <w:p w:rsidR="00A63938" w:rsidRPr="00F7764F" w:rsidRDefault="00F950E2" w:rsidP="00C4062E">
      <w:pPr>
        <w:pStyle w:val="ListParagraph"/>
        <w:jc w:val="both"/>
        <w:rPr>
          <w:rFonts w:cs="Arial"/>
        </w:rPr>
      </w:pPr>
      <w:r w:rsidRPr="00F7764F">
        <w:rPr>
          <w:rFonts w:cs="Arial"/>
        </w:rPr>
        <w:t xml:space="preserve">Обврските по кредити </w:t>
      </w:r>
      <w:r w:rsidR="00D51983">
        <w:rPr>
          <w:rFonts w:cs="Arial"/>
        </w:rPr>
        <w:t>заклучно со вториот квартал</w:t>
      </w:r>
      <w:r w:rsidR="004469CA" w:rsidRPr="00F7764F">
        <w:rPr>
          <w:rFonts w:cs="Arial"/>
        </w:rPr>
        <w:t xml:space="preserve"> </w:t>
      </w:r>
      <w:r w:rsidRPr="00F7764F">
        <w:rPr>
          <w:rFonts w:cs="Arial"/>
        </w:rPr>
        <w:t>од 202</w:t>
      </w:r>
      <w:r w:rsidR="00A375E1">
        <w:rPr>
          <w:rFonts w:cs="Arial"/>
        </w:rPr>
        <w:t>3</w:t>
      </w:r>
      <w:r w:rsidR="00475E69" w:rsidRPr="00F7764F">
        <w:rPr>
          <w:rFonts w:cs="Arial"/>
        </w:rPr>
        <w:t xml:space="preserve"> година </w:t>
      </w:r>
      <w:r w:rsidR="00111933" w:rsidRPr="00F7764F">
        <w:rPr>
          <w:rFonts w:cs="Arial"/>
        </w:rPr>
        <w:t xml:space="preserve">се </w:t>
      </w:r>
      <w:r w:rsidRPr="00F7764F">
        <w:rPr>
          <w:rFonts w:cs="Arial"/>
        </w:rPr>
        <w:t>намалени</w:t>
      </w:r>
      <w:r w:rsidR="008E69BC" w:rsidRPr="00F7764F">
        <w:rPr>
          <w:rFonts w:cs="Arial"/>
        </w:rPr>
        <w:t xml:space="preserve"> за </w:t>
      </w:r>
      <w:r w:rsidR="00D51983">
        <w:rPr>
          <w:rFonts w:cs="Arial"/>
        </w:rPr>
        <w:t>15</w:t>
      </w:r>
      <w:r w:rsidR="002A021D">
        <w:rPr>
          <w:rFonts w:cs="Arial"/>
        </w:rPr>
        <w:t>,</w:t>
      </w:r>
      <w:r w:rsidR="00D51983">
        <w:rPr>
          <w:rFonts w:cs="Arial"/>
        </w:rPr>
        <w:t>6</w:t>
      </w:r>
      <w:r w:rsidR="008E69BC" w:rsidRPr="00F7764F">
        <w:rPr>
          <w:rFonts w:cs="Arial"/>
        </w:rPr>
        <w:t>%</w:t>
      </w:r>
      <w:r w:rsidR="00111933" w:rsidRPr="00F7764F">
        <w:rPr>
          <w:rFonts w:cs="Arial"/>
        </w:rPr>
        <w:t xml:space="preserve"> во однос на  </w:t>
      </w:r>
      <w:r w:rsidRPr="00F7764F">
        <w:rPr>
          <w:rFonts w:cs="Arial"/>
        </w:rPr>
        <w:t>31.12.202</w:t>
      </w:r>
      <w:r w:rsidR="002A021D">
        <w:rPr>
          <w:rFonts w:cs="Arial"/>
        </w:rPr>
        <w:t>2</w:t>
      </w:r>
      <w:r w:rsidR="00454904" w:rsidRPr="00F7764F">
        <w:rPr>
          <w:rFonts w:cs="Arial"/>
        </w:rPr>
        <w:t xml:space="preserve"> </w:t>
      </w:r>
      <w:r w:rsidR="00111933" w:rsidRPr="00F7764F">
        <w:rPr>
          <w:rFonts w:cs="Arial"/>
        </w:rPr>
        <w:t>година.</w:t>
      </w:r>
    </w:p>
    <w:p w:rsidR="00C4062E" w:rsidRPr="00F7764F" w:rsidRDefault="00C4062E" w:rsidP="00C4062E">
      <w:pPr>
        <w:pStyle w:val="ListParagraph"/>
        <w:jc w:val="both"/>
      </w:pPr>
    </w:p>
    <w:p w:rsidR="002C07D2" w:rsidRPr="002606AB" w:rsidRDefault="004C0BFB" w:rsidP="002C07D2">
      <w:pPr>
        <w:pStyle w:val="ListParagraph"/>
        <w:numPr>
          <w:ilvl w:val="0"/>
          <w:numId w:val="1"/>
        </w:numPr>
        <w:jc w:val="both"/>
        <w:rPr>
          <w:b/>
        </w:rPr>
      </w:pPr>
      <w:r w:rsidRPr="00F7764F">
        <w:rPr>
          <w:rFonts w:cs="Arial"/>
          <w:b/>
        </w:rPr>
        <w:t>Исполнување на планот</w:t>
      </w:r>
      <w:r w:rsidR="00133741" w:rsidRPr="00F7764F">
        <w:rPr>
          <w:rFonts w:cs="Arial"/>
          <w:b/>
        </w:rPr>
        <w:t xml:space="preserve"> и очекувања за претс</w:t>
      </w:r>
      <w:r w:rsidR="00DE6FF3" w:rsidRPr="00F7764F">
        <w:rPr>
          <w:rFonts w:cs="Arial"/>
          <w:b/>
        </w:rPr>
        <w:t>тојниот период</w:t>
      </w:r>
    </w:p>
    <w:p w:rsidR="00625F2A" w:rsidRDefault="00625F2A" w:rsidP="002606AB">
      <w:pPr>
        <w:pStyle w:val="ListParagraph"/>
        <w:jc w:val="both"/>
        <w:rPr>
          <w:noProof/>
          <w:lang w:eastAsia="mk-MK"/>
        </w:rPr>
      </w:pPr>
    </w:p>
    <w:p w:rsidR="002606AB" w:rsidRPr="00E13184" w:rsidRDefault="002606AB" w:rsidP="00EF636E">
      <w:pPr>
        <w:pStyle w:val="ListParagraph"/>
        <w:jc w:val="both"/>
        <w:rPr>
          <w:noProof/>
          <w:lang w:eastAsia="mk-MK"/>
        </w:rPr>
      </w:pPr>
      <w:r w:rsidRPr="00055180">
        <w:rPr>
          <w:noProof/>
          <w:lang w:eastAsia="mk-MK"/>
        </w:rPr>
        <w:t>Во првите шест месеци од 2023 година, податоците за остварување на билансните цели на банката се реален одраз на последиците од енергетската криза и ескалацијата на руско-украинскиот конфликт кој предизвика силен раст и голема променливост на цените на примарните енергенси, што предизвика раст на цените на сите останати производи и услуги. И покрај тоа во првото полугодие од 2023 година, нето кредитното портфолио на население бележи раст од 2,1% во однос на планот и 1,7% во однос на 31.12.2022 година</w:t>
      </w:r>
    </w:p>
    <w:p w:rsidR="00392122" w:rsidRPr="00F7764F" w:rsidRDefault="00392122" w:rsidP="00F70707">
      <w:pPr>
        <w:pStyle w:val="ListParagraph"/>
        <w:jc w:val="both"/>
        <w:rPr>
          <w:noProof/>
          <w:lang w:eastAsia="mk-MK"/>
        </w:rPr>
      </w:pPr>
    </w:p>
    <w:p w:rsidR="00BC199C" w:rsidRPr="00F7764F" w:rsidRDefault="002C07D2" w:rsidP="002C07D2">
      <w:pPr>
        <w:pStyle w:val="ListParagraph"/>
        <w:jc w:val="both"/>
        <w:rPr>
          <w:noProof/>
          <w:lang w:eastAsia="mk-MK"/>
        </w:rPr>
      </w:pPr>
      <w:r w:rsidRPr="00F7764F">
        <w:rPr>
          <w:noProof/>
          <w:lang w:eastAsia="mk-MK"/>
        </w:rPr>
        <w:t>Анализата на структурата на пасивата</w:t>
      </w:r>
      <w:r w:rsidR="008E48B1" w:rsidRPr="00F7764F">
        <w:rPr>
          <w:noProof/>
          <w:lang w:eastAsia="mk-MK"/>
        </w:rPr>
        <w:t xml:space="preserve"> </w:t>
      </w:r>
      <w:r w:rsidR="0076417F" w:rsidRPr="00F7764F">
        <w:rPr>
          <w:noProof/>
          <w:lang w:eastAsia="mk-MK"/>
        </w:rPr>
        <w:t xml:space="preserve">на билансот на состојба </w:t>
      </w:r>
      <w:r w:rsidR="005D001F" w:rsidRPr="00F7764F">
        <w:rPr>
          <w:noProof/>
          <w:lang w:eastAsia="mk-MK"/>
        </w:rPr>
        <w:t xml:space="preserve">на </w:t>
      </w:r>
      <w:r w:rsidR="00D51983">
        <w:rPr>
          <w:noProof/>
          <w:lang w:eastAsia="mk-MK"/>
        </w:rPr>
        <w:t>30.06</w:t>
      </w:r>
      <w:r w:rsidR="00635602" w:rsidRPr="00F7764F">
        <w:rPr>
          <w:noProof/>
          <w:lang w:eastAsia="mk-MK"/>
        </w:rPr>
        <w:t>.202</w:t>
      </w:r>
      <w:r w:rsidR="002A54D8">
        <w:rPr>
          <w:noProof/>
          <w:lang w:eastAsia="mk-MK"/>
        </w:rPr>
        <w:t>3</w:t>
      </w:r>
      <w:r w:rsidR="00F351EB" w:rsidRPr="00F7764F">
        <w:rPr>
          <w:noProof/>
          <w:lang w:eastAsia="mk-MK"/>
        </w:rPr>
        <w:t xml:space="preserve"> година</w:t>
      </w:r>
      <w:r w:rsidRPr="00F7764F">
        <w:rPr>
          <w:noProof/>
          <w:lang w:eastAsia="mk-MK"/>
        </w:rPr>
        <w:t xml:space="preserve"> и нејзината споредба со планираната укажуваат на </w:t>
      </w:r>
      <w:r w:rsidR="004C2B5B" w:rsidRPr="00F7764F">
        <w:rPr>
          <w:noProof/>
          <w:lang w:eastAsia="mk-MK"/>
        </w:rPr>
        <w:t>надминување</w:t>
      </w:r>
      <w:r w:rsidR="00B97B49" w:rsidRPr="00F7764F">
        <w:rPr>
          <w:noProof/>
          <w:lang w:eastAsia="mk-MK"/>
        </w:rPr>
        <w:t xml:space="preserve"> на </w:t>
      </w:r>
      <w:r w:rsidR="00883CAE">
        <w:rPr>
          <w:noProof/>
          <w:lang w:eastAsia="mk-MK"/>
        </w:rPr>
        <w:t>планираните</w:t>
      </w:r>
      <w:r w:rsidR="00B97B49" w:rsidRPr="00F7764F">
        <w:rPr>
          <w:noProof/>
          <w:lang w:eastAsia="mk-MK"/>
        </w:rPr>
        <w:t xml:space="preserve"> извори</w:t>
      </w:r>
      <w:r w:rsidRPr="00F7764F">
        <w:rPr>
          <w:noProof/>
          <w:lang w:eastAsia="mk-MK"/>
        </w:rPr>
        <w:t xml:space="preserve"> на финансирање од сектор</w:t>
      </w:r>
      <w:r w:rsidR="00B97B49" w:rsidRPr="00F7764F">
        <w:rPr>
          <w:noProof/>
          <w:lang w:eastAsia="mk-MK"/>
        </w:rPr>
        <w:t xml:space="preserve">от </w:t>
      </w:r>
      <w:r w:rsidR="00262C70" w:rsidRPr="00F7764F">
        <w:rPr>
          <w:noProof/>
          <w:lang w:eastAsia="mk-MK"/>
        </w:rPr>
        <w:t>корпоративно</w:t>
      </w:r>
      <w:r w:rsidR="002A54D8">
        <w:rPr>
          <w:noProof/>
          <w:lang w:eastAsia="mk-MK"/>
        </w:rPr>
        <w:t xml:space="preserve"> и </w:t>
      </w:r>
      <w:r w:rsidR="00883CAE">
        <w:rPr>
          <w:noProof/>
          <w:lang w:eastAsia="mk-MK"/>
        </w:rPr>
        <w:t xml:space="preserve">секторот </w:t>
      </w:r>
      <w:r w:rsidR="002A54D8">
        <w:rPr>
          <w:noProof/>
          <w:lang w:eastAsia="mk-MK"/>
        </w:rPr>
        <w:t>население</w:t>
      </w:r>
      <w:r w:rsidR="002606AB">
        <w:rPr>
          <w:noProof/>
          <w:lang w:eastAsia="mk-MK"/>
        </w:rPr>
        <w:t xml:space="preserve"> за 21.9% и 4,2% респективно</w:t>
      </w:r>
      <w:r w:rsidRPr="00F7764F">
        <w:rPr>
          <w:noProof/>
          <w:lang w:eastAsia="mk-MK"/>
        </w:rPr>
        <w:t xml:space="preserve">, и </w:t>
      </w:r>
      <w:r w:rsidR="002606AB">
        <w:rPr>
          <w:noProof/>
          <w:lang w:eastAsia="mk-MK"/>
        </w:rPr>
        <w:t xml:space="preserve">истите </w:t>
      </w:r>
      <w:r w:rsidR="00DC47E7" w:rsidRPr="00F7764F">
        <w:rPr>
          <w:noProof/>
          <w:lang w:eastAsia="mk-MK"/>
        </w:rPr>
        <w:t>се  зголемени</w:t>
      </w:r>
      <w:r w:rsidR="00C25EE3" w:rsidRPr="00F7764F">
        <w:rPr>
          <w:noProof/>
          <w:lang w:eastAsia="mk-MK"/>
        </w:rPr>
        <w:t xml:space="preserve"> за </w:t>
      </w:r>
      <w:r w:rsidR="00D51983">
        <w:rPr>
          <w:noProof/>
          <w:lang w:eastAsia="mk-MK"/>
        </w:rPr>
        <w:t>18.7</w:t>
      </w:r>
      <w:r w:rsidR="00640025" w:rsidRPr="00F7764F">
        <w:rPr>
          <w:noProof/>
          <w:lang w:eastAsia="mk-MK"/>
        </w:rPr>
        <w:t>%</w:t>
      </w:r>
      <w:r w:rsidR="00DD08FA" w:rsidRPr="00F7764F">
        <w:rPr>
          <w:noProof/>
          <w:lang w:eastAsia="mk-MK"/>
        </w:rPr>
        <w:t xml:space="preserve"> </w:t>
      </w:r>
      <w:r w:rsidR="00D51983">
        <w:rPr>
          <w:noProof/>
          <w:lang w:eastAsia="mk-MK"/>
        </w:rPr>
        <w:t>и 3.8</w:t>
      </w:r>
      <w:r w:rsidR="002A54D8">
        <w:rPr>
          <w:noProof/>
          <w:lang w:eastAsia="mk-MK"/>
        </w:rPr>
        <w:t xml:space="preserve">% </w:t>
      </w:r>
      <w:r w:rsidR="00262C70" w:rsidRPr="00F7764F">
        <w:rPr>
          <w:noProof/>
          <w:lang w:eastAsia="mk-MK"/>
        </w:rPr>
        <w:t>во однос на 31.12.202</w:t>
      </w:r>
      <w:r w:rsidR="002A54D8">
        <w:rPr>
          <w:noProof/>
          <w:lang w:eastAsia="mk-MK"/>
        </w:rPr>
        <w:t>2</w:t>
      </w:r>
      <w:r w:rsidR="00DD08FA" w:rsidRPr="00F7764F">
        <w:rPr>
          <w:noProof/>
          <w:lang w:eastAsia="mk-MK"/>
        </w:rPr>
        <w:t xml:space="preserve"> </w:t>
      </w:r>
      <w:r w:rsidR="009B3152" w:rsidRPr="00F7764F">
        <w:rPr>
          <w:noProof/>
          <w:lang w:eastAsia="mk-MK"/>
        </w:rPr>
        <w:t>година</w:t>
      </w:r>
      <w:r w:rsidR="004C2B5B" w:rsidRPr="00F7764F">
        <w:rPr>
          <w:noProof/>
          <w:lang w:eastAsia="mk-MK"/>
        </w:rPr>
        <w:t xml:space="preserve">. </w:t>
      </w:r>
      <w:r w:rsidR="00262C70" w:rsidRPr="00F7764F">
        <w:rPr>
          <w:noProof/>
          <w:lang w:eastAsia="mk-MK"/>
        </w:rPr>
        <w:t>Воедно, и</w:t>
      </w:r>
      <w:r w:rsidR="00DC47E7" w:rsidRPr="00F7764F">
        <w:rPr>
          <w:noProof/>
          <w:lang w:eastAsia="mk-MK"/>
        </w:rPr>
        <w:t xml:space="preserve"> прибраните средства од финансискиот сектор бележат </w:t>
      </w:r>
      <w:r w:rsidR="00262C70" w:rsidRPr="00F7764F">
        <w:rPr>
          <w:noProof/>
          <w:lang w:eastAsia="mk-MK"/>
        </w:rPr>
        <w:t xml:space="preserve">зголемување од </w:t>
      </w:r>
      <w:r w:rsidR="00D51983">
        <w:rPr>
          <w:noProof/>
          <w:lang w:eastAsia="mk-MK"/>
        </w:rPr>
        <w:t>6</w:t>
      </w:r>
      <w:r w:rsidR="00262C70" w:rsidRPr="00F7764F">
        <w:rPr>
          <w:noProof/>
          <w:lang w:eastAsia="mk-MK"/>
        </w:rPr>
        <w:t>.</w:t>
      </w:r>
      <w:r w:rsidR="00D51983">
        <w:rPr>
          <w:noProof/>
          <w:lang w:eastAsia="mk-MK"/>
        </w:rPr>
        <w:t>7</w:t>
      </w:r>
      <w:r w:rsidR="00262C70" w:rsidRPr="00F7764F">
        <w:rPr>
          <w:noProof/>
          <w:lang w:eastAsia="mk-MK"/>
        </w:rPr>
        <w:t>% во однос на 31.12.202</w:t>
      </w:r>
      <w:r w:rsidR="002A54D8">
        <w:rPr>
          <w:noProof/>
          <w:lang w:eastAsia="mk-MK"/>
        </w:rPr>
        <w:t>2</w:t>
      </w:r>
      <w:r w:rsidR="001354F6" w:rsidRPr="00F7764F">
        <w:rPr>
          <w:noProof/>
          <w:lang w:eastAsia="mk-MK"/>
        </w:rPr>
        <w:t xml:space="preserve"> година</w:t>
      </w:r>
      <w:r w:rsidR="00DC7CE0" w:rsidRPr="00F7764F">
        <w:rPr>
          <w:noProof/>
          <w:lang w:eastAsia="mk-MK"/>
        </w:rPr>
        <w:t xml:space="preserve"> што е согласно </w:t>
      </w:r>
      <w:r w:rsidR="00A123D4" w:rsidRPr="00F7764F">
        <w:rPr>
          <w:noProof/>
          <w:lang w:eastAsia="mk-MK"/>
        </w:rPr>
        <w:t>планираната стратегија</w:t>
      </w:r>
      <w:r w:rsidR="00DC7CE0" w:rsidRPr="00F7764F">
        <w:rPr>
          <w:noProof/>
          <w:lang w:eastAsia="mk-MK"/>
        </w:rPr>
        <w:t xml:space="preserve"> на Банката за </w:t>
      </w:r>
      <w:r w:rsidR="00262C70" w:rsidRPr="00F7764F">
        <w:rPr>
          <w:noProof/>
          <w:lang w:eastAsia="mk-MK"/>
        </w:rPr>
        <w:t>одржување на прифатливо ниво на ликвидност</w:t>
      </w:r>
      <w:r w:rsidR="00DC47E7" w:rsidRPr="00F7764F">
        <w:rPr>
          <w:noProof/>
          <w:lang w:eastAsia="mk-MK"/>
        </w:rPr>
        <w:t>.</w:t>
      </w:r>
    </w:p>
    <w:p w:rsidR="00805FF7" w:rsidRPr="00F7764F" w:rsidRDefault="00805FF7" w:rsidP="002C07D2">
      <w:pPr>
        <w:pStyle w:val="ListParagraph"/>
        <w:jc w:val="both"/>
        <w:rPr>
          <w:noProof/>
          <w:lang w:eastAsia="mk-MK"/>
        </w:rPr>
      </w:pPr>
    </w:p>
    <w:p w:rsidR="00805FF7" w:rsidRPr="00F7764F" w:rsidRDefault="00805FF7" w:rsidP="00805FF7">
      <w:pPr>
        <w:jc w:val="both"/>
      </w:pPr>
      <w:r w:rsidRPr="00F7764F">
        <w:rPr>
          <w:noProof/>
          <w:lang w:eastAsia="mk-MK"/>
        </w:rPr>
        <w:lastRenderedPageBreak/>
        <w:t xml:space="preserve">Во претстојниот период банката очекува да продолжи тенденцијата на зголемување на  активата, континуиран раст и задржување на квалитетот на кредитното портфолио на банката, кој би бил подржан со зголемен раст на депозитната база преку имплементација на нови депозитни продукти, во насока на зголемување на учеството на нефинансиските извори на финансирање, со посебен акцент на зголемување на учеството на трансакциските сметки,  оптимизирање на административните трошоци, зголемување на пазарното учество </w:t>
      </w:r>
      <w:r w:rsidRPr="00F7764F">
        <w:t>по различни сегменти во банкарскиот сектор во зависност од преземениот ризик, влијанието на адекватноста на капиталот и профитабилноста,</w:t>
      </w:r>
      <w:r w:rsidRPr="00F7764F">
        <w:rPr>
          <w:noProof/>
          <w:lang w:eastAsia="mk-MK"/>
        </w:rPr>
        <w:t xml:space="preserve"> подобрување на квалитетот на услугите, усовршување на дигиталните сервиси и канали за плаќање, </w:t>
      </w:r>
      <w:r w:rsidRPr="00F7764F">
        <w:t>развој на знаењето и вештините на човечките ресурси како главен столб на доброто работење</w:t>
      </w:r>
      <w:r w:rsidRPr="00F7764F">
        <w:rPr>
          <w:noProof/>
          <w:lang w:eastAsia="mk-MK"/>
        </w:rPr>
        <w:t xml:space="preserve"> и исполнување на зацртани</w:t>
      </w:r>
      <w:r w:rsidR="00E2331D">
        <w:rPr>
          <w:noProof/>
          <w:lang w:eastAsia="mk-MK"/>
        </w:rPr>
        <w:t>те</w:t>
      </w:r>
      <w:r w:rsidRPr="00F7764F">
        <w:rPr>
          <w:noProof/>
          <w:lang w:eastAsia="mk-MK"/>
        </w:rPr>
        <w:t xml:space="preserve"> цели во Бизнис планот на Банката за 202</w:t>
      </w:r>
      <w:r w:rsidR="00A16847">
        <w:rPr>
          <w:noProof/>
          <w:lang w:eastAsia="mk-MK"/>
        </w:rPr>
        <w:t>3</w:t>
      </w:r>
      <w:r w:rsidRPr="00F7764F">
        <w:rPr>
          <w:noProof/>
          <w:lang w:eastAsia="mk-MK"/>
        </w:rPr>
        <w:t xml:space="preserve"> година, </w:t>
      </w:r>
      <w:r w:rsidRPr="00F7764F">
        <w:rPr>
          <w:rFonts w:cs="Calibri"/>
        </w:rPr>
        <w:t>а се со цел да излеземе во пресрет на различните потреби и интереси на клиентите</w:t>
      </w:r>
      <w:r w:rsidRPr="00F7764F">
        <w:t>.</w:t>
      </w:r>
    </w:p>
    <w:p w:rsidR="00805FF7" w:rsidRPr="005750B7" w:rsidRDefault="00805FF7" w:rsidP="002C07D2">
      <w:pPr>
        <w:pStyle w:val="ListParagraph"/>
        <w:jc w:val="both"/>
        <w:rPr>
          <w:noProof/>
          <w:lang w:eastAsia="mk-MK"/>
        </w:rPr>
      </w:pPr>
    </w:p>
    <w:p w:rsidR="001B4A3C" w:rsidRDefault="001B4A3C" w:rsidP="0003603D">
      <w:pPr>
        <w:jc w:val="both"/>
        <w:rPr>
          <w:lang w:val="en-US"/>
        </w:rPr>
      </w:pPr>
    </w:p>
    <w:p w:rsidR="001B4A3C" w:rsidRPr="001B4A3C" w:rsidRDefault="001B4A3C" w:rsidP="0003603D">
      <w:pPr>
        <w:jc w:val="both"/>
        <w:rPr>
          <w:lang w:val="en-US"/>
        </w:rPr>
      </w:pPr>
    </w:p>
    <w:sectPr w:rsidR="001B4A3C" w:rsidRPr="001B4A3C" w:rsidSect="00C76430">
      <w:pgSz w:w="11906" w:h="16838"/>
      <w:pgMar w:top="1440" w:right="1440" w:bottom="1440" w:left="1440" w:header="708" w:footer="708" w:gutter="0"/>
      <w:pgBorders w:offsetFrom="page">
        <w:top w:val="double" w:sz="12" w:space="24" w:color="1F497D"/>
        <w:left w:val="double" w:sz="12" w:space="24" w:color="1F497D"/>
        <w:bottom w:val="double" w:sz="12" w:space="24" w:color="1F497D"/>
        <w:right w:val="double" w:sz="12"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11576"/>
    <w:multiLevelType w:val="hybridMultilevel"/>
    <w:tmpl w:val="1514EA9C"/>
    <w:lvl w:ilvl="0" w:tplc="AFC6DF02">
      <w:start w:val="1"/>
      <w:numFmt w:val="decimal"/>
      <w:lvlText w:val="%1."/>
      <w:lvlJc w:val="left"/>
      <w:pPr>
        <w:ind w:left="720" w:hanging="360"/>
      </w:pPr>
      <w:rPr>
        <w:rFonts w:cs="Aria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74"/>
    <w:rsid w:val="00004353"/>
    <w:rsid w:val="00005CA2"/>
    <w:rsid w:val="00007610"/>
    <w:rsid w:val="00010AE5"/>
    <w:rsid w:val="000166E3"/>
    <w:rsid w:val="000173EC"/>
    <w:rsid w:val="00033030"/>
    <w:rsid w:val="000358B3"/>
    <w:rsid w:val="0003603D"/>
    <w:rsid w:val="00036379"/>
    <w:rsid w:val="00037BCA"/>
    <w:rsid w:val="00037F9D"/>
    <w:rsid w:val="00040A7E"/>
    <w:rsid w:val="000414CF"/>
    <w:rsid w:val="00053E08"/>
    <w:rsid w:val="00054DED"/>
    <w:rsid w:val="00055002"/>
    <w:rsid w:val="00055180"/>
    <w:rsid w:val="000555D3"/>
    <w:rsid w:val="00062461"/>
    <w:rsid w:val="00063F29"/>
    <w:rsid w:val="00071FE8"/>
    <w:rsid w:val="00072612"/>
    <w:rsid w:val="00074507"/>
    <w:rsid w:val="000811BB"/>
    <w:rsid w:val="00083332"/>
    <w:rsid w:val="000838E9"/>
    <w:rsid w:val="00085870"/>
    <w:rsid w:val="00085B3C"/>
    <w:rsid w:val="000905C9"/>
    <w:rsid w:val="00094D85"/>
    <w:rsid w:val="0009526B"/>
    <w:rsid w:val="000A2417"/>
    <w:rsid w:val="000A4879"/>
    <w:rsid w:val="000A7018"/>
    <w:rsid w:val="000B755B"/>
    <w:rsid w:val="000B7BA4"/>
    <w:rsid w:val="000B7D27"/>
    <w:rsid w:val="000C3538"/>
    <w:rsid w:val="000D0203"/>
    <w:rsid w:val="000D4813"/>
    <w:rsid w:val="000D515E"/>
    <w:rsid w:val="000D7DDC"/>
    <w:rsid w:val="000E0AF4"/>
    <w:rsid w:val="000E1EA1"/>
    <w:rsid w:val="000E2B34"/>
    <w:rsid w:val="000E51A5"/>
    <w:rsid w:val="000E56BC"/>
    <w:rsid w:val="000E601E"/>
    <w:rsid w:val="000E6046"/>
    <w:rsid w:val="000F0370"/>
    <w:rsid w:val="000F1BD8"/>
    <w:rsid w:val="000F5A34"/>
    <w:rsid w:val="001035BA"/>
    <w:rsid w:val="00106AA5"/>
    <w:rsid w:val="00111933"/>
    <w:rsid w:val="0011401B"/>
    <w:rsid w:val="001172BF"/>
    <w:rsid w:val="00117F5C"/>
    <w:rsid w:val="001243F5"/>
    <w:rsid w:val="001323E8"/>
    <w:rsid w:val="00133741"/>
    <w:rsid w:val="00133EA5"/>
    <w:rsid w:val="00133F24"/>
    <w:rsid w:val="00134F8A"/>
    <w:rsid w:val="001354F6"/>
    <w:rsid w:val="00135C25"/>
    <w:rsid w:val="00137E53"/>
    <w:rsid w:val="001401E5"/>
    <w:rsid w:val="00146D01"/>
    <w:rsid w:val="0014766B"/>
    <w:rsid w:val="00153981"/>
    <w:rsid w:val="00160D8C"/>
    <w:rsid w:val="0016414D"/>
    <w:rsid w:val="0016443C"/>
    <w:rsid w:val="00165772"/>
    <w:rsid w:val="00167115"/>
    <w:rsid w:val="00180B58"/>
    <w:rsid w:val="00183C4B"/>
    <w:rsid w:val="001915C7"/>
    <w:rsid w:val="00195028"/>
    <w:rsid w:val="001A3983"/>
    <w:rsid w:val="001A6FFF"/>
    <w:rsid w:val="001B1C02"/>
    <w:rsid w:val="001B4A3C"/>
    <w:rsid w:val="001B69F6"/>
    <w:rsid w:val="001C2611"/>
    <w:rsid w:val="001C4485"/>
    <w:rsid w:val="001D1B15"/>
    <w:rsid w:val="001D2028"/>
    <w:rsid w:val="001E1368"/>
    <w:rsid w:val="001E2940"/>
    <w:rsid w:val="001E6E18"/>
    <w:rsid w:val="001F5F55"/>
    <w:rsid w:val="001F6A49"/>
    <w:rsid w:val="00200E1D"/>
    <w:rsid w:val="002026A4"/>
    <w:rsid w:val="00207378"/>
    <w:rsid w:val="002163A8"/>
    <w:rsid w:val="00216C65"/>
    <w:rsid w:val="002203AC"/>
    <w:rsid w:val="002257CD"/>
    <w:rsid w:val="0023484F"/>
    <w:rsid w:val="00237471"/>
    <w:rsid w:val="00244FDF"/>
    <w:rsid w:val="0024597A"/>
    <w:rsid w:val="00251D9E"/>
    <w:rsid w:val="002532D1"/>
    <w:rsid w:val="00253FFC"/>
    <w:rsid w:val="0025700D"/>
    <w:rsid w:val="002606AB"/>
    <w:rsid w:val="00262284"/>
    <w:rsid w:val="00262C70"/>
    <w:rsid w:val="002634D6"/>
    <w:rsid w:val="002655B2"/>
    <w:rsid w:val="00270786"/>
    <w:rsid w:val="00270C30"/>
    <w:rsid w:val="002746CB"/>
    <w:rsid w:val="00274BBE"/>
    <w:rsid w:val="00275B60"/>
    <w:rsid w:val="00275EC9"/>
    <w:rsid w:val="002808F7"/>
    <w:rsid w:val="00281915"/>
    <w:rsid w:val="00281AAF"/>
    <w:rsid w:val="00284577"/>
    <w:rsid w:val="0028459C"/>
    <w:rsid w:val="00285EE3"/>
    <w:rsid w:val="00292E18"/>
    <w:rsid w:val="00297632"/>
    <w:rsid w:val="002A021D"/>
    <w:rsid w:val="002A07A8"/>
    <w:rsid w:val="002A30B5"/>
    <w:rsid w:val="002A48A7"/>
    <w:rsid w:val="002A4ED1"/>
    <w:rsid w:val="002A54D8"/>
    <w:rsid w:val="002A7214"/>
    <w:rsid w:val="002B5D0B"/>
    <w:rsid w:val="002C040C"/>
    <w:rsid w:val="002C07D2"/>
    <w:rsid w:val="002C2C94"/>
    <w:rsid w:val="002C396B"/>
    <w:rsid w:val="002D4AE7"/>
    <w:rsid w:val="002E4160"/>
    <w:rsid w:val="002E760F"/>
    <w:rsid w:val="00301D73"/>
    <w:rsid w:val="003066F9"/>
    <w:rsid w:val="00314B5D"/>
    <w:rsid w:val="00315072"/>
    <w:rsid w:val="003236ED"/>
    <w:rsid w:val="003323C0"/>
    <w:rsid w:val="00336F32"/>
    <w:rsid w:val="003426BD"/>
    <w:rsid w:val="003457B6"/>
    <w:rsid w:val="00346054"/>
    <w:rsid w:val="00357A1D"/>
    <w:rsid w:val="0036791E"/>
    <w:rsid w:val="00374583"/>
    <w:rsid w:val="003766E0"/>
    <w:rsid w:val="00380E90"/>
    <w:rsid w:val="00381A53"/>
    <w:rsid w:val="00386662"/>
    <w:rsid w:val="003917A0"/>
    <w:rsid w:val="00392122"/>
    <w:rsid w:val="00394E0C"/>
    <w:rsid w:val="003A07C9"/>
    <w:rsid w:val="003A0929"/>
    <w:rsid w:val="003A4FE6"/>
    <w:rsid w:val="003B4D64"/>
    <w:rsid w:val="003B5B4C"/>
    <w:rsid w:val="003C0690"/>
    <w:rsid w:val="003C0CA2"/>
    <w:rsid w:val="003C0EF1"/>
    <w:rsid w:val="003C2809"/>
    <w:rsid w:val="003C5FFE"/>
    <w:rsid w:val="003C79DF"/>
    <w:rsid w:val="003D06CB"/>
    <w:rsid w:val="003D0C06"/>
    <w:rsid w:val="003D5300"/>
    <w:rsid w:val="003E4060"/>
    <w:rsid w:val="003E43C4"/>
    <w:rsid w:val="003E4EE5"/>
    <w:rsid w:val="003E752E"/>
    <w:rsid w:val="003E7DAA"/>
    <w:rsid w:val="003F506B"/>
    <w:rsid w:val="003F5B5F"/>
    <w:rsid w:val="00413697"/>
    <w:rsid w:val="00414BB3"/>
    <w:rsid w:val="00415190"/>
    <w:rsid w:val="00416796"/>
    <w:rsid w:val="00416F3E"/>
    <w:rsid w:val="0042108B"/>
    <w:rsid w:val="00421601"/>
    <w:rsid w:val="0042307D"/>
    <w:rsid w:val="00425046"/>
    <w:rsid w:val="004305C8"/>
    <w:rsid w:val="004311E3"/>
    <w:rsid w:val="0043177C"/>
    <w:rsid w:val="00432084"/>
    <w:rsid w:val="00432843"/>
    <w:rsid w:val="004329A0"/>
    <w:rsid w:val="004333E6"/>
    <w:rsid w:val="00440ECB"/>
    <w:rsid w:val="0044299D"/>
    <w:rsid w:val="00443E64"/>
    <w:rsid w:val="004469CA"/>
    <w:rsid w:val="004519F9"/>
    <w:rsid w:val="004543BA"/>
    <w:rsid w:val="00454904"/>
    <w:rsid w:val="004577B7"/>
    <w:rsid w:val="00457942"/>
    <w:rsid w:val="00463255"/>
    <w:rsid w:val="004742C7"/>
    <w:rsid w:val="00475E69"/>
    <w:rsid w:val="004830C8"/>
    <w:rsid w:val="00484170"/>
    <w:rsid w:val="00484DBB"/>
    <w:rsid w:val="004868CF"/>
    <w:rsid w:val="004873E7"/>
    <w:rsid w:val="00487FEE"/>
    <w:rsid w:val="00492552"/>
    <w:rsid w:val="00492A36"/>
    <w:rsid w:val="0049463F"/>
    <w:rsid w:val="00494BDD"/>
    <w:rsid w:val="00495358"/>
    <w:rsid w:val="00495A03"/>
    <w:rsid w:val="00495E95"/>
    <w:rsid w:val="004A5C69"/>
    <w:rsid w:val="004B045E"/>
    <w:rsid w:val="004B06E4"/>
    <w:rsid w:val="004B2D79"/>
    <w:rsid w:val="004B2FCD"/>
    <w:rsid w:val="004B5EF5"/>
    <w:rsid w:val="004C0443"/>
    <w:rsid w:val="004C0BFB"/>
    <w:rsid w:val="004C10CB"/>
    <w:rsid w:val="004C237D"/>
    <w:rsid w:val="004C2B5B"/>
    <w:rsid w:val="004C395D"/>
    <w:rsid w:val="004C4FDA"/>
    <w:rsid w:val="004C5D8A"/>
    <w:rsid w:val="004C79B6"/>
    <w:rsid w:val="004E116D"/>
    <w:rsid w:val="004E35A2"/>
    <w:rsid w:val="004E57D6"/>
    <w:rsid w:val="004F11E8"/>
    <w:rsid w:val="004F17EA"/>
    <w:rsid w:val="0050776A"/>
    <w:rsid w:val="00510A28"/>
    <w:rsid w:val="00515B1D"/>
    <w:rsid w:val="00523664"/>
    <w:rsid w:val="0053196A"/>
    <w:rsid w:val="00535CBF"/>
    <w:rsid w:val="00544DF2"/>
    <w:rsid w:val="00545268"/>
    <w:rsid w:val="00552C16"/>
    <w:rsid w:val="005552AA"/>
    <w:rsid w:val="00555805"/>
    <w:rsid w:val="00556787"/>
    <w:rsid w:val="005750B7"/>
    <w:rsid w:val="00581F24"/>
    <w:rsid w:val="00583AE6"/>
    <w:rsid w:val="005901CE"/>
    <w:rsid w:val="0059096F"/>
    <w:rsid w:val="005921A5"/>
    <w:rsid w:val="005966BF"/>
    <w:rsid w:val="005977F4"/>
    <w:rsid w:val="005A4B75"/>
    <w:rsid w:val="005A7D5D"/>
    <w:rsid w:val="005B0B8B"/>
    <w:rsid w:val="005B29E0"/>
    <w:rsid w:val="005B5DDE"/>
    <w:rsid w:val="005C1304"/>
    <w:rsid w:val="005C3C30"/>
    <w:rsid w:val="005C430C"/>
    <w:rsid w:val="005C6251"/>
    <w:rsid w:val="005C7078"/>
    <w:rsid w:val="005D001F"/>
    <w:rsid w:val="005D2A7B"/>
    <w:rsid w:val="005D38E0"/>
    <w:rsid w:val="005D6D4F"/>
    <w:rsid w:val="005D7401"/>
    <w:rsid w:val="005E3751"/>
    <w:rsid w:val="005E47C5"/>
    <w:rsid w:val="005E5478"/>
    <w:rsid w:val="005F3F54"/>
    <w:rsid w:val="005F407C"/>
    <w:rsid w:val="005F7303"/>
    <w:rsid w:val="006004F1"/>
    <w:rsid w:val="006008B2"/>
    <w:rsid w:val="00620F1B"/>
    <w:rsid w:val="006228C9"/>
    <w:rsid w:val="00622A99"/>
    <w:rsid w:val="00625F2A"/>
    <w:rsid w:val="0062604C"/>
    <w:rsid w:val="00632361"/>
    <w:rsid w:val="00632959"/>
    <w:rsid w:val="00635602"/>
    <w:rsid w:val="0063638C"/>
    <w:rsid w:val="00640025"/>
    <w:rsid w:val="00642185"/>
    <w:rsid w:val="00643036"/>
    <w:rsid w:val="00647677"/>
    <w:rsid w:val="006506F6"/>
    <w:rsid w:val="006506FE"/>
    <w:rsid w:val="00650AAF"/>
    <w:rsid w:val="006554E7"/>
    <w:rsid w:val="00660597"/>
    <w:rsid w:val="00661AD6"/>
    <w:rsid w:val="00663853"/>
    <w:rsid w:val="00665253"/>
    <w:rsid w:val="006767EC"/>
    <w:rsid w:val="006811C6"/>
    <w:rsid w:val="00682CE5"/>
    <w:rsid w:val="00682D7C"/>
    <w:rsid w:val="0068456C"/>
    <w:rsid w:val="006909C6"/>
    <w:rsid w:val="006921E3"/>
    <w:rsid w:val="00692257"/>
    <w:rsid w:val="00693DA9"/>
    <w:rsid w:val="00694E2D"/>
    <w:rsid w:val="00695706"/>
    <w:rsid w:val="006A47BC"/>
    <w:rsid w:val="006B2D28"/>
    <w:rsid w:val="006B4041"/>
    <w:rsid w:val="006B665B"/>
    <w:rsid w:val="006B66D2"/>
    <w:rsid w:val="006B7D37"/>
    <w:rsid w:val="006B7D4A"/>
    <w:rsid w:val="006C2148"/>
    <w:rsid w:val="006C2C5F"/>
    <w:rsid w:val="006C391D"/>
    <w:rsid w:val="006C4E69"/>
    <w:rsid w:val="006C4E74"/>
    <w:rsid w:val="006C7137"/>
    <w:rsid w:val="006E0856"/>
    <w:rsid w:val="006E13C3"/>
    <w:rsid w:val="006E26B1"/>
    <w:rsid w:val="006E3754"/>
    <w:rsid w:val="006E41F6"/>
    <w:rsid w:val="006F0816"/>
    <w:rsid w:val="006F28E8"/>
    <w:rsid w:val="006F46BE"/>
    <w:rsid w:val="00702F5F"/>
    <w:rsid w:val="00706929"/>
    <w:rsid w:val="007109CF"/>
    <w:rsid w:val="00711276"/>
    <w:rsid w:val="00711BA5"/>
    <w:rsid w:val="00714AFC"/>
    <w:rsid w:val="00715EF4"/>
    <w:rsid w:val="00720357"/>
    <w:rsid w:val="00735C18"/>
    <w:rsid w:val="0073772B"/>
    <w:rsid w:val="00740267"/>
    <w:rsid w:val="00744384"/>
    <w:rsid w:val="0074445A"/>
    <w:rsid w:val="00760FAE"/>
    <w:rsid w:val="007615A3"/>
    <w:rsid w:val="007623D6"/>
    <w:rsid w:val="0076417F"/>
    <w:rsid w:val="007663BB"/>
    <w:rsid w:val="007707D8"/>
    <w:rsid w:val="00772492"/>
    <w:rsid w:val="00777B98"/>
    <w:rsid w:val="007836D7"/>
    <w:rsid w:val="00785423"/>
    <w:rsid w:val="00786846"/>
    <w:rsid w:val="00792437"/>
    <w:rsid w:val="00792D9E"/>
    <w:rsid w:val="00796B28"/>
    <w:rsid w:val="007A1056"/>
    <w:rsid w:val="007A1393"/>
    <w:rsid w:val="007A1574"/>
    <w:rsid w:val="007A4CA0"/>
    <w:rsid w:val="007A623D"/>
    <w:rsid w:val="007B027D"/>
    <w:rsid w:val="007B0425"/>
    <w:rsid w:val="007B11BE"/>
    <w:rsid w:val="007B1D9E"/>
    <w:rsid w:val="007B251C"/>
    <w:rsid w:val="007B3101"/>
    <w:rsid w:val="007B3A69"/>
    <w:rsid w:val="007B4DF2"/>
    <w:rsid w:val="007B4DFC"/>
    <w:rsid w:val="007C3F23"/>
    <w:rsid w:val="007C7C07"/>
    <w:rsid w:val="007D0F1C"/>
    <w:rsid w:val="007D25A6"/>
    <w:rsid w:val="007D4690"/>
    <w:rsid w:val="007E0AA8"/>
    <w:rsid w:val="007E1D22"/>
    <w:rsid w:val="007E21EF"/>
    <w:rsid w:val="007E6530"/>
    <w:rsid w:val="007F41A7"/>
    <w:rsid w:val="00800102"/>
    <w:rsid w:val="00805D93"/>
    <w:rsid w:val="00805FF7"/>
    <w:rsid w:val="008123E4"/>
    <w:rsid w:val="00820E9B"/>
    <w:rsid w:val="0082218B"/>
    <w:rsid w:val="0082265E"/>
    <w:rsid w:val="00826F7E"/>
    <w:rsid w:val="00831037"/>
    <w:rsid w:val="0083104C"/>
    <w:rsid w:val="0083447B"/>
    <w:rsid w:val="00834558"/>
    <w:rsid w:val="00834685"/>
    <w:rsid w:val="0083682A"/>
    <w:rsid w:val="00836ACB"/>
    <w:rsid w:val="00837434"/>
    <w:rsid w:val="00840A89"/>
    <w:rsid w:val="008472E4"/>
    <w:rsid w:val="00847F3E"/>
    <w:rsid w:val="008546D8"/>
    <w:rsid w:val="00856E78"/>
    <w:rsid w:val="00857BAD"/>
    <w:rsid w:val="0086068B"/>
    <w:rsid w:val="00866828"/>
    <w:rsid w:val="00873732"/>
    <w:rsid w:val="00881465"/>
    <w:rsid w:val="0088330C"/>
    <w:rsid w:val="00883662"/>
    <w:rsid w:val="00883CAE"/>
    <w:rsid w:val="008848F3"/>
    <w:rsid w:val="0088758C"/>
    <w:rsid w:val="00890832"/>
    <w:rsid w:val="00890FDB"/>
    <w:rsid w:val="008924AF"/>
    <w:rsid w:val="008A07B1"/>
    <w:rsid w:val="008A4F09"/>
    <w:rsid w:val="008A7193"/>
    <w:rsid w:val="008A76E8"/>
    <w:rsid w:val="008B12B0"/>
    <w:rsid w:val="008C06E6"/>
    <w:rsid w:val="008C0CBF"/>
    <w:rsid w:val="008C4F6C"/>
    <w:rsid w:val="008C6E24"/>
    <w:rsid w:val="008D0F42"/>
    <w:rsid w:val="008D462E"/>
    <w:rsid w:val="008D47A8"/>
    <w:rsid w:val="008D6617"/>
    <w:rsid w:val="008E2DDB"/>
    <w:rsid w:val="008E48B1"/>
    <w:rsid w:val="008E69BC"/>
    <w:rsid w:val="008F1C7F"/>
    <w:rsid w:val="008F21D7"/>
    <w:rsid w:val="009010DB"/>
    <w:rsid w:val="00903667"/>
    <w:rsid w:val="009056F9"/>
    <w:rsid w:val="00906B92"/>
    <w:rsid w:val="009122F3"/>
    <w:rsid w:val="00913102"/>
    <w:rsid w:val="00913FAD"/>
    <w:rsid w:val="009215AF"/>
    <w:rsid w:val="009220DE"/>
    <w:rsid w:val="0092373E"/>
    <w:rsid w:val="009240C5"/>
    <w:rsid w:val="0093055D"/>
    <w:rsid w:val="00930659"/>
    <w:rsid w:val="00931D55"/>
    <w:rsid w:val="009325C3"/>
    <w:rsid w:val="009349C0"/>
    <w:rsid w:val="00937744"/>
    <w:rsid w:val="00941042"/>
    <w:rsid w:val="009445A4"/>
    <w:rsid w:val="00952C79"/>
    <w:rsid w:val="0095425D"/>
    <w:rsid w:val="00955750"/>
    <w:rsid w:val="00956023"/>
    <w:rsid w:val="00964BC2"/>
    <w:rsid w:val="00966512"/>
    <w:rsid w:val="0096791D"/>
    <w:rsid w:val="009704F6"/>
    <w:rsid w:val="0097132B"/>
    <w:rsid w:val="00971F27"/>
    <w:rsid w:val="009734C5"/>
    <w:rsid w:val="009750FF"/>
    <w:rsid w:val="00975956"/>
    <w:rsid w:val="0098045E"/>
    <w:rsid w:val="00992083"/>
    <w:rsid w:val="00994798"/>
    <w:rsid w:val="009978C7"/>
    <w:rsid w:val="009A33E1"/>
    <w:rsid w:val="009A5E16"/>
    <w:rsid w:val="009A6BF1"/>
    <w:rsid w:val="009B3152"/>
    <w:rsid w:val="009B658A"/>
    <w:rsid w:val="009B7421"/>
    <w:rsid w:val="009C0BB7"/>
    <w:rsid w:val="009C35FC"/>
    <w:rsid w:val="009C3D16"/>
    <w:rsid w:val="009C45A1"/>
    <w:rsid w:val="009C69CE"/>
    <w:rsid w:val="009E30E5"/>
    <w:rsid w:val="009E4224"/>
    <w:rsid w:val="009E53F2"/>
    <w:rsid w:val="009E6502"/>
    <w:rsid w:val="009F2D22"/>
    <w:rsid w:val="009F7D3F"/>
    <w:rsid w:val="00A05895"/>
    <w:rsid w:val="00A05E07"/>
    <w:rsid w:val="00A12358"/>
    <w:rsid w:val="00A123D4"/>
    <w:rsid w:val="00A15173"/>
    <w:rsid w:val="00A16847"/>
    <w:rsid w:val="00A16A5E"/>
    <w:rsid w:val="00A17B39"/>
    <w:rsid w:val="00A17E01"/>
    <w:rsid w:val="00A23398"/>
    <w:rsid w:val="00A23487"/>
    <w:rsid w:val="00A23496"/>
    <w:rsid w:val="00A25218"/>
    <w:rsid w:val="00A34DCC"/>
    <w:rsid w:val="00A35C4A"/>
    <w:rsid w:val="00A375E1"/>
    <w:rsid w:val="00A453A4"/>
    <w:rsid w:val="00A4626E"/>
    <w:rsid w:val="00A56B14"/>
    <w:rsid w:val="00A63938"/>
    <w:rsid w:val="00A66402"/>
    <w:rsid w:val="00A679F9"/>
    <w:rsid w:val="00A72AA1"/>
    <w:rsid w:val="00A7420D"/>
    <w:rsid w:val="00A80CE9"/>
    <w:rsid w:val="00A84AA3"/>
    <w:rsid w:val="00A874F1"/>
    <w:rsid w:val="00A920D6"/>
    <w:rsid w:val="00AA15EA"/>
    <w:rsid w:val="00AA4232"/>
    <w:rsid w:val="00AA68C9"/>
    <w:rsid w:val="00AA6B74"/>
    <w:rsid w:val="00AB43F6"/>
    <w:rsid w:val="00AB6FC6"/>
    <w:rsid w:val="00AC39B2"/>
    <w:rsid w:val="00AD13A5"/>
    <w:rsid w:val="00AE4D89"/>
    <w:rsid w:val="00AE5992"/>
    <w:rsid w:val="00AF1996"/>
    <w:rsid w:val="00AF6B21"/>
    <w:rsid w:val="00B02E5F"/>
    <w:rsid w:val="00B03C7B"/>
    <w:rsid w:val="00B0553B"/>
    <w:rsid w:val="00B0700E"/>
    <w:rsid w:val="00B072E1"/>
    <w:rsid w:val="00B2085F"/>
    <w:rsid w:val="00B20A65"/>
    <w:rsid w:val="00B23ECB"/>
    <w:rsid w:val="00B279DB"/>
    <w:rsid w:val="00B27D98"/>
    <w:rsid w:val="00B303B4"/>
    <w:rsid w:val="00B37297"/>
    <w:rsid w:val="00B3733E"/>
    <w:rsid w:val="00B401D5"/>
    <w:rsid w:val="00B51B83"/>
    <w:rsid w:val="00B54C8D"/>
    <w:rsid w:val="00B54D21"/>
    <w:rsid w:val="00B6229B"/>
    <w:rsid w:val="00B62991"/>
    <w:rsid w:val="00B659F2"/>
    <w:rsid w:val="00B6743B"/>
    <w:rsid w:val="00B704F5"/>
    <w:rsid w:val="00B7168B"/>
    <w:rsid w:val="00B725B0"/>
    <w:rsid w:val="00B72F1D"/>
    <w:rsid w:val="00B756ED"/>
    <w:rsid w:val="00B8626B"/>
    <w:rsid w:val="00B86624"/>
    <w:rsid w:val="00B97B49"/>
    <w:rsid w:val="00BA2C90"/>
    <w:rsid w:val="00BA477A"/>
    <w:rsid w:val="00BA7E44"/>
    <w:rsid w:val="00BB03C4"/>
    <w:rsid w:val="00BB217C"/>
    <w:rsid w:val="00BC199C"/>
    <w:rsid w:val="00BC26C8"/>
    <w:rsid w:val="00BC6FEA"/>
    <w:rsid w:val="00BD151A"/>
    <w:rsid w:val="00BD3620"/>
    <w:rsid w:val="00BD4411"/>
    <w:rsid w:val="00BE06D4"/>
    <w:rsid w:val="00BE435F"/>
    <w:rsid w:val="00BE4B22"/>
    <w:rsid w:val="00BF0D11"/>
    <w:rsid w:val="00BF13F9"/>
    <w:rsid w:val="00BF1F17"/>
    <w:rsid w:val="00BF6134"/>
    <w:rsid w:val="00BF7911"/>
    <w:rsid w:val="00C00B48"/>
    <w:rsid w:val="00C049FC"/>
    <w:rsid w:val="00C072EA"/>
    <w:rsid w:val="00C10ABA"/>
    <w:rsid w:val="00C11124"/>
    <w:rsid w:val="00C113D8"/>
    <w:rsid w:val="00C2574A"/>
    <w:rsid w:val="00C25EE3"/>
    <w:rsid w:val="00C25FDD"/>
    <w:rsid w:val="00C319E9"/>
    <w:rsid w:val="00C36302"/>
    <w:rsid w:val="00C4062E"/>
    <w:rsid w:val="00C42FAD"/>
    <w:rsid w:val="00C4578C"/>
    <w:rsid w:val="00C53485"/>
    <w:rsid w:val="00C63BAC"/>
    <w:rsid w:val="00C64B4E"/>
    <w:rsid w:val="00C724BE"/>
    <w:rsid w:val="00C72703"/>
    <w:rsid w:val="00C76430"/>
    <w:rsid w:val="00C8514B"/>
    <w:rsid w:val="00C87857"/>
    <w:rsid w:val="00C9133C"/>
    <w:rsid w:val="00C91CF7"/>
    <w:rsid w:val="00CA54D9"/>
    <w:rsid w:val="00CA6427"/>
    <w:rsid w:val="00CA6D71"/>
    <w:rsid w:val="00CB46B7"/>
    <w:rsid w:val="00CB59C0"/>
    <w:rsid w:val="00CB5CCA"/>
    <w:rsid w:val="00CB6EB1"/>
    <w:rsid w:val="00CB7E0E"/>
    <w:rsid w:val="00CC119E"/>
    <w:rsid w:val="00CC6814"/>
    <w:rsid w:val="00CC7103"/>
    <w:rsid w:val="00CD1E78"/>
    <w:rsid w:val="00CD23C9"/>
    <w:rsid w:val="00CD5427"/>
    <w:rsid w:val="00CD63FE"/>
    <w:rsid w:val="00CD7EEA"/>
    <w:rsid w:val="00CE5C92"/>
    <w:rsid w:val="00CE7F5A"/>
    <w:rsid w:val="00CF0060"/>
    <w:rsid w:val="00CF5CAA"/>
    <w:rsid w:val="00D15E74"/>
    <w:rsid w:val="00D2519D"/>
    <w:rsid w:val="00D2670F"/>
    <w:rsid w:val="00D270B0"/>
    <w:rsid w:val="00D30C5D"/>
    <w:rsid w:val="00D31205"/>
    <w:rsid w:val="00D32DA0"/>
    <w:rsid w:val="00D3411C"/>
    <w:rsid w:val="00D34871"/>
    <w:rsid w:val="00D34B56"/>
    <w:rsid w:val="00D36575"/>
    <w:rsid w:val="00D43FCF"/>
    <w:rsid w:val="00D452B8"/>
    <w:rsid w:val="00D467D2"/>
    <w:rsid w:val="00D46FB8"/>
    <w:rsid w:val="00D50B5F"/>
    <w:rsid w:val="00D51983"/>
    <w:rsid w:val="00D51A9F"/>
    <w:rsid w:val="00D53F3B"/>
    <w:rsid w:val="00D62EFB"/>
    <w:rsid w:val="00D65B47"/>
    <w:rsid w:val="00D66B7A"/>
    <w:rsid w:val="00D70997"/>
    <w:rsid w:val="00D71C2C"/>
    <w:rsid w:val="00D81EA0"/>
    <w:rsid w:val="00D83EF4"/>
    <w:rsid w:val="00D84080"/>
    <w:rsid w:val="00D84433"/>
    <w:rsid w:val="00D863CC"/>
    <w:rsid w:val="00D86952"/>
    <w:rsid w:val="00D87AA1"/>
    <w:rsid w:val="00D942D8"/>
    <w:rsid w:val="00DA04D9"/>
    <w:rsid w:val="00DA162C"/>
    <w:rsid w:val="00DA221A"/>
    <w:rsid w:val="00DA2A3C"/>
    <w:rsid w:val="00DA5B84"/>
    <w:rsid w:val="00DA6819"/>
    <w:rsid w:val="00DB4D87"/>
    <w:rsid w:val="00DB7721"/>
    <w:rsid w:val="00DB786F"/>
    <w:rsid w:val="00DC1160"/>
    <w:rsid w:val="00DC47E7"/>
    <w:rsid w:val="00DC7CE0"/>
    <w:rsid w:val="00DD08FA"/>
    <w:rsid w:val="00DD4261"/>
    <w:rsid w:val="00DD619E"/>
    <w:rsid w:val="00DD6339"/>
    <w:rsid w:val="00DD7B0E"/>
    <w:rsid w:val="00DE2496"/>
    <w:rsid w:val="00DE2D2C"/>
    <w:rsid w:val="00DE3FBD"/>
    <w:rsid w:val="00DE6FF3"/>
    <w:rsid w:val="00DF2A89"/>
    <w:rsid w:val="00E03D2B"/>
    <w:rsid w:val="00E05B22"/>
    <w:rsid w:val="00E06816"/>
    <w:rsid w:val="00E119B3"/>
    <w:rsid w:val="00E123C3"/>
    <w:rsid w:val="00E159E3"/>
    <w:rsid w:val="00E179DD"/>
    <w:rsid w:val="00E20A63"/>
    <w:rsid w:val="00E22093"/>
    <w:rsid w:val="00E2331D"/>
    <w:rsid w:val="00E2707B"/>
    <w:rsid w:val="00E32C48"/>
    <w:rsid w:val="00E35A16"/>
    <w:rsid w:val="00E42348"/>
    <w:rsid w:val="00E437B1"/>
    <w:rsid w:val="00E51DA2"/>
    <w:rsid w:val="00E5206E"/>
    <w:rsid w:val="00E56CDC"/>
    <w:rsid w:val="00E603C7"/>
    <w:rsid w:val="00E60DFA"/>
    <w:rsid w:val="00E654E6"/>
    <w:rsid w:val="00E66473"/>
    <w:rsid w:val="00E730B6"/>
    <w:rsid w:val="00E75687"/>
    <w:rsid w:val="00E770F0"/>
    <w:rsid w:val="00E8155D"/>
    <w:rsid w:val="00E95318"/>
    <w:rsid w:val="00EA1794"/>
    <w:rsid w:val="00EA257E"/>
    <w:rsid w:val="00EA2941"/>
    <w:rsid w:val="00EA4044"/>
    <w:rsid w:val="00EA7C00"/>
    <w:rsid w:val="00EB5BE4"/>
    <w:rsid w:val="00EB61B0"/>
    <w:rsid w:val="00EB7FF6"/>
    <w:rsid w:val="00EC2EC5"/>
    <w:rsid w:val="00EC3F79"/>
    <w:rsid w:val="00EC4555"/>
    <w:rsid w:val="00ED304B"/>
    <w:rsid w:val="00ED470C"/>
    <w:rsid w:val="00ED57D5"/>
    <w:rsid w:val="00EE0314"/>
    <w:rsid w:val="00EE1CF1"/>
    <w:rsid w:val="00EE38AC"/>
    <w:rsid w:val="00EF4F98"/>
    <w:rsid w:val="00EF5222"/>
    <w:rsid w:val="00EF636E"/>
    <w:rsid w:val="00EF6817"/>
    <w:rsid w:val="00EF716E"/>
    <w:rsid w:val="00F00C74"/>
    <w:rsid w:val="00F03F35"/>
    <w:rsid w:val="00F10BD0"/>
    <w:rsid w:val="00F12936"/>
    <w:rsid w:val="00F12A32"/>
    <w:rsid w:val="00F12C2B"/>
    <w:rsid w:val="00F14161"/>
    <w:rsid w:val="00F153E6"/>
    <w:rsid w:val="00F2705A"/>
    <w:rsid w:val="00F273AA"/>
    <w:rsid w:val="00F301CC"/>
    <w:rsid w:val="00F33C82"/>
    <w:rsid w:val="00F351EB"/>
    <w:rsid w:val="00F4107B"/>
    <w:rsid w:val="00F42800"/>
    <w:rsid w:val="00F463C9"/>
    <w:rsid w:val="00F52FD5"/>
    <w:rsid w:val="00F53538"/>
    <w:rsid w:val="00F544C2"/>
    <w:rsid w:val="00F600B9"/>
    <w:rsid w:val="00F633FE"/>
    <w:rsid w:val="00F70707"/>
    <w:rsid w:val="00F70C97"/>
    <w:rsid w:val="00F75758"/>
    <w:rsid w:val="00F7764F"/>
    <w:rsid w:val="00F801E3"/>
    <w:rsid w:val="00F82274"/>
    <w:rsid w:val="00F828C3"/>
    <w:rsid w:val="00F831D6"/>
    <w:rsid w:val="00F840CF"/>
    <w:rsid w:val="00F861D5"/>
    <w:rsid w:val="00F92E3A"/>
    <w:rsid w:val="00F9380D"/>
    <w:rsid w:val="00F93AF5"/>
    <w:rsid w:val="00F950E2"/>
    <w:rsid w:val="00F95AC4"/>
    <w:rsid w:val="00FA7240"/>
    <w:rsid w:val="00FB5250"/>
    <w:rsid w:val="00FB643F"/>
    <w:rsid w:val="00FC4423"/>
    <w:rsid w:val="00FC4855"/>
    <w:rsid w:val="00FD7AFA"/>
    <w:rsid w:val="00FE2B5B"/>
    <w:rsid w:val="00FE2F0D"/>
    <w:rsid w:val="00FE4CF3"/>
    <w:rsid w:val="00FE70E7"/>
    <w:rsid w:val="00FF22E3"/>
    <w:rsid w:val="00FF31FF"/>
    <w:rsid w:val="00FF43E6"/>
    <w:rsid w:val="00FF5324"/>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19ACD-97A0-4465-9B68-9504F5EA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8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B"/>
    <w:pPr>
      <w:ind w:left="720"/>
      <w:contextualSpacing/>
    </w:pPr>
  </w:style>
  <w:style w:type="paragraph" w:styleId="BalloonText">
    <w:name w:val="Balloon Text"/>
    <w:basedOn w:val="Normal"/>
    <w:link w:val="BalloonTextChar"/>
    <w:uiPriority w:val="99"/>
    <w:semiHidden/>
    <w:unhideWhenUsed/>
    <w:rsid w:val="005D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E0"/>
    <w:rPr>
      <w:rFonts w:ascii="Tahoma" w:hAnsi="Tahoma" w:cs="Tahoma"/>
      <w:sz w:val="16"/>
      <w:szCs w:val="16"/>
      <w:lang w:eastAsia="en-US"/>
    </w:rPr>
  </w:style>
  <w:style w:type="paragraph" w:customStyle="1" w:styleId="Default">
    <w:name w:val="Default"/>
    <w:rsid w:val="0003603D"/>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71131-5FB8-400C-8CC0-D1709C58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kristina.donovska</dc:creator>
  <cp:lastModifiedBy>Nadica Minovska</cp:lastModifiedBy>
  <cp:revision>3</cp:revision>
  <cp:lastPrinted>2023-07-21T15:14:00Z</cp:lastPrinted>
  <dcterms:created xsi:type="dcterms:W3CDTF">2023-07-24T13:50:00Z</dcterms:created>
  <dcterms:modified xsi:type="dcterms:W3CDTF">2023-07-26T10:21:00Z</dcterms:modified>
</cp:coreProperties>
</file>